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00" w:type="dxa"/>
        <w:tblInd w:w="308" w:type="dxa"/>
        <w:tblBorders>
          <w:bottom w:val="single" w:sz="2" w:space="0" w:color="auto"/>
          <w:insideH w:val="single" w:sz="2" w:space="0" w:color="auto"/>
        </w:tblBorders>
        <w:tblLayout w:type="fixed"/>
        <w:tblLook w:val="0000"/>
      </w:tblPr>
      <w:tblGrid>
        <w:gridCol w:w="9300"/>
      </w:tblGrid>
      <w:tr w:rsidR="001E2733" w:rsidRPr="00883FAA" w:rsidTr="00E1771C">
        <w:tblPrEx>
          <w:tblCellMar>
            <w:top w:w="0" w:type="dxa"/>
            <w:bottom w:w="0" w:type="dxa"/>
          </w:tblCellMar>
        </w:tblPrEx>
        <w:trPr>
          <w:cantSplit/>
          <w:trHeight w:val="114"/>
        </w:trPr>
        <w:tc>
          <w:tcPr>
            <w:tcW w:w="9300" w:type="dxa"/>
            <w:tcBorders>
              <w:top w:val="single" w:sz="12" w:space="0" w:color="auto"/>
              <w:left w:val="single" w:sz="12" w:space="0" w:color="auto"/>
              <w:bottom w:val="single" w:sz="2" w:space="0" w:color="auto"/>
              <w:right w:val="single" w:sz="12" w:space="0" w:color="auto"/>
            </w:tcBorders>
          </w:tcPr>
          <w:p w:rsidR="001E2733" w:rsidRPr="00871773" w:rsidRDefault="001E2733" w:rsidP="00E1771C">
            <w:pPr>
              <w:spacing w:before="120"/>
              <w:rPr>
                <w:rFonts w:ascii="Arial" w:hAnsi="Arial"/>
                <w:b/>
                <w:bCs/>
              </w:rPr>
            </w:pPr>
            <w:r w:rsidRPr="00871773">
              <w:rPr>
                <w:rFonts w:ascii="Arial" w:hAnsi="Arial"/>
                <w:b/>
                <w:bCs/>
              </w:rPr>
              <w:t>Research Theme for research cluster:</w:t>
            </w:r>
          </w:p>
          <w:p w:rsidR="001E2733" w:rsidRPr="00871773" w:rsidRDefault="001E2733" w:rsidP="00E1771C">
            <w:pPr>
              <w:pStyle w:val="FootnoteText"/>
              <w:tabs>
                <w:tab w:val="left" w:pos="3696"/>
                <w:tab w:val="left" w:pos="5796"/>
              </w:tabs>
              <w:spacing w:before="120" w:after="120"/>
              <w:rPr>
                <w:rFonts w:ascii="Arial" w:hAnsi="Arial"/>
                <w:b/>
                <w:bCs/>
                <w:sz w:val="24"/>
                <w:szCs w:val="24"/>
              </w:rPr>
            </w:pPr>
            <w:r w:rsidRPr="00871773">
              <w:rPr>
                <w:rFonts w:ascii="Arial" w:hAnsi="Arial"/>
                <w:b/>
                <w:bCs/>
                <w:sz w:val="24"/>
                <w:szCs w:val="24"/>
              </w:rPr>
              <w:t xml:space="preserve">Climate Change and Regions in Transition: </w:t>
            </w:r>
          </w:p>
          <w:p w:rsidR="001E2733" w:rsidRPr="00871773" w:rsidRDefault="001E2733" w:rsidP="00E1771C">
            <w:pPr>
              <w:autoSpaceDE w:val="0"/>
              <w:autoSpaceDN w:val="0"/>
              <w:adjustRightInd w:val="0"/>
              <w:rPr>
                <w:rFonts w:ascii="Arial" w:hAnsi="Arial" w:cs="Arial"/>
                <w:sz w:val="21"/>
                <w:szCs w:val="21"/>
                <w:lang w:val="en-US"/>
              </w:rPr>
            </w:pPr>
            <w:r w:rsidRPr="00871773">
              <w:rPr>
                <w:rFonts w:ascii="Arial" w:hAnsi="Arial" w:cs="Arial"/>
                <w:b/>
                <w:sz w:val="21"/>
                <w:szCs w:val="21"/>
                <w:lang w:val="en-US"/>
              </w:rPr>
              <w:t>Description:</w:t>
            </w:r>
            <w:r w:rsidRPr="00871773">
              <w:rPr>
                <w:rFonts w:ascii="Arial" w:hAnsi="Arial" w:cs="Arial"/>
                <w:sz w:val="21"/>
                <w:szCs w:val="21"/>
                <w:lang w:val="en-US"/>
              </w:rPr>
              <w:t xml:space="preserve"> A multidisciplinary cluster (economics, law, ethics and values, management, marketing) to examine how a region makes the societal transition to a low-emissions economy. This cluster will aim to investigate the </w:t>
            </w:r>
            <w:proofErr w:type="spellStart"/>
            <w:r w:rsidRPr="00871773">
              <w:rPr>
                <w:rFonts w:ascii="Arial" w:hAnsi="Arial" w:cs="Arial"/>
                <w:sz w:val="21"/>
                <w:szCs w:val="21"/>
                <w:lang w:val="en-US"/>
              </w:rPr>
              <w:t>model</w:t>
            </w:r>
            <w:r>
              <w:rPr>
                <w:rFonts w:ascii="Arial" w:hAnsi="Arial" w:cs="Arial"/>
                <w:sz w:val="21"/>
                <w:szCs w:val="21"/>
                <w:lang w:val="en-US"/>
              </w:rPr>
              <w:t>l</w:t>
            </w:r>
            <w:r w:rsidRPr="00871773">
              <w:rPr>
                <w:rFonts w:ascii="Arial" w:hAnsi="Arial" w:cs="Arial"/>
                <w:sz w:val="21"/>
                <w:szCs w:val="21"/>
                <w:lang w:val="en-US"/>
              </w:rPr>
              <w:t>ing</w:t>
            </w:r>
            <w:proofErr w:type="spellEnd"/>
            <w:r w:rsidRPr="00871773">
              <w:rPr>
                <w:rFonts w:ascii="Arial" w:hAnsi="Arial" w:cs="Arial"/>
                <w:sz w:val="21"/>
                <w:szCs w:val="21"/>
                <w:lang w:val="en-US"/>
              </w:rPr>
              <w:t xml:space="preserve"> of </w:t>
            </w:r>
            <w:r>
              <w:rPr>
                <w:rFonts w:ascii="Arial" w:hAnsi="Arial" w:cs="Arial"/>
                <w:sz w:val="21"/>
                <w:szCs w:val="21"/>
                <w:lang w:val="en-US"/>
              </w:rPr>
              <w:t xml:space="preserve">a </w:t>
            </w:r>
            <w:r w:rsidRPr="00871773">
              <w:rPr>
                <w:rFonts w:ascii="Arial" w:hAnsi="Arial" w:cs="Arial"/>
                <w:sz w:val="21"/>
                <w:szCs w:val="21"/>
                <w:lang w:val="en-US"/>
              </w:rPr>
              <w:t>paradigm shift to sustainable development.</w:t>
            </w:r>
          </w:p>
          <w:p w:rsidR="001E2733" w:rsidRPr="00871773" w:rsidRDefault="001E2733" w:rsidP="00E1771C">
            <w:pPr>
              <w:autoSpaceDE w:val="0"/>
              <w:autoSpaceDN w:val="0"/>
              <w:adjustRightInd w:val="0"/>
              <w:rPr>
                <w:rFonts w:ascii="Arial" w:hAnsi="Arial" w:cs="Arial"/>
                <w:sz w:val="21"/>
                <w:szCs w:val="21"/>
                <w:lang w:val="en-US"/>
              </w:rPr>
            </w:pPr>
          </w:p>
          <w:p w:rsidR="001E2733" w:rsidRPr="00871773" w:rsidRDefault="001E2733" w:rsidP="00E1771C">
            <w:pPr>
              <w:autoSpaceDE w:val="0"/>
              <w:autoSpaceDN w:val="0"/>
              <w:adjustRightInd w:val="0"/>
              <w:rPr>
                <w:rFonts w:ascii="Arial" w:hAnsi="Arial" w:cs="Arial"/>
                <w:sz w:val="21"/>
                <w:szCs w:val="21"/>
                <w:lang w:val="en-US"/>
              </w:rPr>
            </w:pPr>
            <w:r w:rsidRPr="00871773">
              <w:rPr>
                <w:rFonts w:ascii="Arial" w:hAnsi="Arial" w:cs="Arial"/>
                <w:sz w:val="21"/>
                <w:szCs w:val="21"/>
                <w:lang w:val="en-US"/>
              </w:rPr>
              <w:t>Elements in the research cluster would include:</w:t>
            </w:r>
          </w:p>
          <w:p w:rsidR="001E2733" w:rsidRPr="00871773" w:rsidRDefault="001E2733" w:rsidP="00E1771C">
            <w:pPr>
              <w:autoSpaceDE w:val="0"/>
              <w:autoSpaceDN w:val="0"/>
              <w:adjustRightInd w:val="0"/>
              <w:rPr>
                <w:rFonts w:ascii="Arial" w:hAnsi="Arial" w:cs="Arial"/>
                <w:sz w:val="21"/>
                <w:szCs w:val="21"/>
                <w:lang w:val="en-US"/>
              </w:rPr>
            </w:pPr>
            <w:r w:rsidRPr="00871773">
              <w:rPr>
                <w:rFonts w:ascii="Arial" w:hAnsi="Arial" w:cs="Arial"/>
                <w:sz w:val="21"/>
                <w:szCs w:val="21"/>
                <w:lang w:val="en-US"/>
              </w:rPr>
              <w:t># social learning (education)</w:t>
            </w:r>
          </w:p>
          <w:p w:rsidR="001E2733" w:rsidRPr="00871773" w:rsidRDefault="001E2733" w:rsidP="00E1771C">
            <w:pPr>
              <w:autoSpaceDE w:val="0"/>
              <w:autoSpaceDN w:val="0"/>
              <w:adjustRightInd w:val="0"/>
              <w:rPr>
                <w:rFonts w:ascii="Arial" w:hAnsi="Arial" w:cs="Arial"/>
                <w:sz w:val="21"/>
                <w:szCs w:val="21"/>
                <w:lang w:val="en-US"/>
              </w:rPr>
            </w:pPr>
            <w:r w:rsidRPr="00871773">
              <w:rPr>
                <w:rFonts w:ascii="Arial" w:hAnsi="Arial" w:cs="Arial"/>
                <w:sz w:val="21"/>
                <w:szCs w:val="21"/>
                <w:lang w:val="en-US"/>
              </w:rPr>
              <w:t># strategic niche management (economics)</w:t>
            </w:r>
          </w:p>
          <w:p w:rsidR="001E2733" w:rsidRPr="00871773" w:rsidRDefault="001E2733" w:rsidP="00E1771C">
            <w:pPr>
              <w:autoSpaceDE w:val="0"/>
              <w:autoSpaceDN w:val="0"/>
              <w:adjustRightInd w:val="0"/>
              <w:rPr>
                <w:rFonts w:ascii="Arial" w:hAnsi="Arial" w:cs="Arial"/>
                <w:sz w:val="21"/>
                <w:szCs w:val="21"/>
                <w:lang w:val="en-US"/>
              </w:rPr>
            </w:pPr>
            <w:r w:rsidRPr="00871773">
              <w:rPr>
                <w:rFonts w:ascii="Arial" w:hAnsi="Arial" w:cs="Arial"/>
                <w:sz w:val="21"/>
                <w:szCs w:val="21"/>
                <w:lang w:val="en-US"/>
              </w:rPr>
              <w:t># strategic regulatory policy (law)</w:t>
            </w:r>
          </w:p>
          <w:p w:rsidR="001E2733" w:rsidRDefault="001E2733" w:rsidP="00E1771C">
            <w:pPr>
              <w:autoSpaceDE w:val="0"/>
              <w:autoSpaceDN w:val="0"/>
              <w:adjustRightInd w:val="0"/>
              <w:rPr>
                <w:rFonts w:ascii="Arial" w:hAnsi="Arial" w:cs="Arial"/>
                <w:sz w:val="21"/>
                <w:szCs w:val="21"/>
                <w:lang w:val="en-US"/>
              </w:rPr>
            </w:pPr>
            <w:r w:rsidRPr="00871773">
              <w:rPr>
                <w:rFonts w:ascii="Arial" w:hAnsi="Arial" w:cs="Arial"/>
                <w:sz w:val="21"/>
                <w:szCs w:val="21"/>
                <w:lang w:val="en-US"/>
              </w:rPr>
              <w:t xml:space="preserve"># social </w:t>
            </w:r>
            <w:r>
              <w:rPr>
                <w:rFonts w:ascii="Arial" w:hAnsi="Arial" w:cs="Arial"/>
                <w:sz w:val="21"/>
                <w:szCs w:val="21"/>
                <w:lang w:val="en-US"/>
              </w:rPr>
              <w:t>values (sociology/psychology)</w:t>
            </w:r>
          </w:p>
          <w:p w:rsidR="001E2733" w:rsidRPr="00871773" w:rsidRDefault="001E2733" w:rsidP="00E1771C">
            <w:pPr>
              <w:autoSpaceDE w:val="0"/>
              <w:autoSpaceDN w:val="0"/>
              <w:adjustRightInd w:val="0"/>
              <w:rPr>
                <w:rFonts w:ascii="Arial" w:hAnsi="Arial" w:cs="Arial"/>
                <w:sz w:val="21"/>
                <w:szCs w:val="21"/>
                <w:lang w:val="en-US"/>
              </w:rPr>
            </w:pPr>
            <w:r>
              <w:rPr>
                <w:rFonts w:ascii="Arial" w:hAnsi="Arial" w:cs="Arial"/>
                <w:sz w:val="21"/>
                <w:szCs w:val="21"/>
                <w:lang w:val="en-US"/>
              </w:rPr>
              <w:t># developing a theoretical model for future empirical research</w:t>
            </w:r>
          </w:p>
          <w:p w:rsidR="001E2733" w:rsidRPr="00871773" w:rsidRDefault="001E2733" w:rsidP="00E1771C">
            <w:pPr>
              <w:autoSpaceDE w:val="0"/>
              <w:autoSpaceDN w:val="0"/>
              <w:adjustRightInd w:val="0"/>
              <w:rPr>
                <w:rFonts w:ascii="Arial" w:hAnsi="Arial" w:cs="Arial"/>
                <w:sz w:val="21"/>
                <w:szCs w:val="21"/>
                <w:lang w:val="en-US"/>
              </w:rPr>
            </w:pPr>
            <w:r w:rsidRPr="00871773">
              <w:rPr>
                <w:rFonts w:ascii="Arial" w:hAnsi="Arial" w:cs="Arial"/>
                <w:sz w:val="21"/>
                <w:szCs w:val="21"/>
                <w:lang w:val="en-US"/>
              </w:rPr>
              <w:t xml:space="preserve"># corporate </w:t>
            </w:r>
            <w:r>
              <w:rPr>
                <w:rFonts w:ascii="Arial" w:hAnsi="Arial" w:cs="Arial"/>
                <w:sz w:val="21"/>
                <w:szCs w:val="21"/>
                <w:lang w:val="en-US"/>
              </w:rPr>
              <w:t xml:space="preserve">response and </w:t>
            </w:r>
            <w:r w:rsidRPr="00871773">
              <w:rPr>
                <w:rFonts w:ascii="Arial" w:hAnsi="Arial" w:cs="Arial"/>
                <w:sz w:val="21"/>
                <w:szCs w:val="21"/>
                <w:lang w:val="en-US"/>
              </w:rPr>
              <w:t>learning (CSR, stakeholders and triple bottom line)</w:t>
            </w:r>
          </w:p>
          <w:p w:rsidR="001E2733" w:rsidRPr="00871773" w:rsidRDefault="001E2733" w:rsidP="00E1771C">
            <w:pPr>
              <w:autoSpaceDE w:val="0"/>
              <w:autoSpaceDN w:val="0"/>
              <w:adjustRightInd w:val="0"/>
              <w:rPr>
                <w:rFonts w:ascii="Arial" w:hAnsi="Arial" w:cs="Arial"/>
                <w:sz w:val="21"/>
                <w:szCs w:val="21"/>
                <w:lang w:val="en-US"/>
              </w:rPr>
            </w:pPr>
          </w:p>
          <w:p w:rsidR="001E2733" w:rsidRPr="00871773" w:rsidRDefault="001E2733" w:rsidP="00E1771C">
            <w:pPr>
              <w:autoSpaceDE w:val="0"/>
              <w:autoSpaceDN w:val="0"/>
              <w:adjustRightInd w:val="0"/>
              <w:rPr>
                <w:rFonts w:ascii="Arial" w:hAnsi="Arial" w:cs="Arial"/>
                <w:sz w:val="21"/>
                <w:szCs w:val="21"/>
                <w:lang w:val="en-US"/>
              </w:rPr>
            </w:pPr>
            <w:r w:rsidRPr="00871773">
              <w:rPr>
                <w:rFonts w:ascii="Arial" w:hAnsi="Arial" w:cs="Arial"/>
                <w:sz w:val="21"/>
                <w:szCs w:val="21"/>
                <w:lang w:val="en-US"/>
              </w:rPr>
              <w:t xml:space="preserve">The aim is to derive a transition model (or models) at the intersection of economics, law and management using the "transition towns" </w:t>
            </w:r>
            <w:r>
              <w:rPr>
                <w:rFonts w:ascii="Arial" w:hAnsi="Arial" w:cs="Arial"/>
                <w:sz w:val="21"/>
                <w:szCs w:val="21"/>
                <w:lang w:val="en-US"/>
              </w:rPr>
              <w:t xml:space="preserve">concept </w:t>
            </w:r>
            <w:r w:rsidRPr="00871773">
              <w:rPr>
                <w:rFonts w:ascii="Arial" w:hAnsi="Arial" w:cs="Arial"/>
                <w:sz w:val="21"/>
                <w:szCs w:val="21"/>
                <w:lang w:val="en-US"/>
              </w:rPr>
              <w:t xml:space="preserve">as a guide. The context will be the large "tyranny of distance" setting in </w:t>
            </w:r>
            <w:smartTag w:uri="urn:schemas-microsoft-com:office:smarttags" w:element="country-region">
              <w:smartTag w:uri="urn:schemas-microsoft-com:office:smarttags" w:element="place">
                <w:r w:rsidRPr="00871773">
                  <w:rPr>
                    <w:rFonts w:ascii="Arial" w:hAnsi="Arial" w:cs="Arial"/>
                    <w:sz w:val="21"/>
                    <w:szCs w:val="21"/>
                    <w:lang w:val="en-US"/>
                  </w:rPr>
                  <w:t>Australia</w:t>
                </w:r>
              </w:smartTag>
            </w:smartTag>
            <w:r w:rsidRPr="00871773">
              <w:rPr>
                <w:rFonts w:ascii="Arial" w:hAnsi="Arial" w:cs="Arial"/>
                <w:sz w:val="21"/>
                <w:szCs w:val="21"/>
                <w:lang w:val="en-US"/>
              </w:rPr>
              <w:t>'s regional economies. The cluster aims to complement both the Regional Futures UB research theme and the CRIC work on environmental decision-making and diffusion of current sustainable technologies to sustainable development.</w:t>
            </w:r>
          </w:p>
          <w:p w:rsidR="001E2733" w:rsidRPr="00871773" w:rsidRDefault="001E2733" w:rsidP="00E1771C">
            <w:pPr>
              <w:autoSpaceDE w:val="0"/>
              <w:autoSpaceDN w:val="0"/>
              <w:adjustRightInd w:val="0"/>
              <w:rPr>
                <w:rFonts w:ascii="Arial" w:hAnsi="Arial" w:cs="Arial"/>
                <w:sz w:val="16"/>
                <w:szCs w:val="16"/>
                <w:lang w:val="en-US"/>
              </w:rPr>
            </w:pPr>
            <w:r w:rsidRPr="00871773">
              <w:rPr>
                <w:rFonts w:ascii="Arial" w:hAnsi="Arial" w:cs="Arial"/>
                <w:sz w:val="16"/>
                <w:szCs w:val="16"/>
                <w:lang w:val="en-US"/>
              </w:rPr>
              <w:t xml:space="preserve"> </w:t>
            </w:r>
          </w:p>
          <w:p w:rsidR="001E2733" w:rsidRPr="00883FAA" w:rsidRDefault="001E2733" w:rsidP="00E1771C">
            <w:pPr>
              <w:pStyle w:val="FootnoteText"/>
              <w:tabs>
                <w:tab w:val="left" w:pos="3696"/>
                <w:tab w:val="left" w:pos="5796"/>
              </w:tabs>
              <w:spacing w:before="120" w:after="120"/>
              <w:rPr>
                <w:rFonts w:ascii="Arial" w:hAnsi="Arial"/>
                <w:b/>
                <w:bCs/>
                <w:sz w:val="21"/>
                <w:szCs w:val="21"/>
                <w:lang w:val="en-US"/>
              </w:rPr>
            </w:pPr>
          </w:p>
        </w:tc>
      </w:tr>
      <w:tr w:rsidR="001E2733" w:rsidRPr="00AA5891" w:rsidTr="00E1771C">
        <w:tblPrEx>
          <w:tblCellMar>
            <w:top w:w="0" w:type="dxa"/>
            <w:bottom w:w="0" w:type="dxa"/>
          </w:tblCellMar>
        </w:tblPrEx>
        <w:trPr>
          <w:cantSplit/>
          <w:trHeight w:val="111"/>
        </w:trPr>
        <w:tc>
          <w:tcPr>
            <w:tcW w:w="9300" w:type="dxa"/>
            <w:tcBorders>
              <w:top w:val="single" w:sz="2" w:space="0" w:color="auto"/>
              <w:left w:val="single" w:sz="12" w:space="0" w:color="auto"/>
              <w:bottom w:val="single" w:sz="2" w:space="0" w:color="auto"/>
              <w:right w:val="single" w:sz="12" w:space="0" w:color="auto"/>
            </w:tcBorders>
          </w:tcPr>
          <w:p w:rsidR="001E2733" w:rsidRPr="00AA5891" w:rsidRDefault="001E2733" w:rsidP="00E1771C">
            <w:pPr>
              <w:spacing w:before="120"/>
              <w:rPr>
                <w:rFonts w:ascii="Arial" w:hAnsi="Arial"/>
                <w:b/>
                <w:bCs/>
                <w:sz w:val="21"/>
                <w:szCs w:val="21"/>
              </w:rPr>
            </w:pPr>
            <w:r>
              <w:rPr>
                <w:rFonts w:ascii="Arial" w:hAnsi="Arial"/>
                <w:b/>
                <w:bCs/>
                <w:sz w:val="21"/>
                <w:szCs w:val="21"/>
              </w:rPr>
              <w:t xml:space="preserve">Justification and Location: </w:t>
            </w:r>
            <w:r w:rsidRPr="00883FAA">
              <w:rPr>
                <w:rFonts w:ascii="Arial" w:hAnsi="Arial"/>
                <w:bCs/>
                <w:sz w:val="21"/>
                <w:szCs w:val="21"/>
              </w:rPr>
              <w:t xml:space="preserve">The research focus of this cluster is intended to complement the research activities presently carried out by such organisations as </w:t>
            </w:r>
            <w:r>
              <w:rPr>
                <w:rFonts w:ascii="Arial" w:hAnsi="Arial"/>
                <w:bCs/>
                <w:sz w:val="21"/>
                <w:szCs w:val="21"/>
              </w:rPr>
              <w:t xml:space="preserve">DSE (through the Victorian Climate Change Adaption Program), </w:t>
            </w:r>
            <w:r w:rsidRPr="00883FAA">
              <w:rPr>
                <w:rFonts w:ascii="Arial" w:hAnsi="Arial"/>
                <w:bCs/>
                <w:sz w:val="21"/>
                <w:szCs w:val="21"/>
              </w:rPr>
              <w:t>CRIC, BREAZE and SEAANZ</w:t>
            </w:r>
            <w:r>
              <w:rPr>
                <w:rFonts w:ascii="Arial" w:hAnsi="Arial"/>
                <w:bCs/>
                <w:sz w:val="21"/>
                <w:szCs w:val="21"/>
              </w:rPr>
              <w:t xml:space="preserve">. It is recognised and acknowledged that CRIC, in particular in its Regional Futures theme, focuses on regional enterprise and its ability to adapt to changing environmental conditions. In support of CRIC, the focus of the cluster will be on social learning and transition aspects of climate change in regional </w:t>
            </w:r>
            <w:smartTag w:uri="urn:schemas-microsoft-com:office:smarttags" w:element="country-region">
              <w:smartTag w:uri="urn:schemas-microsoft-com:office:smarttags" w:element="place">
                <w:r>
                  <w:rPr>
                    <w:rFonts w:ascii="Arial" w:hAnsi="Arial"/>
                    <w:bCs/>
                    <w:sz w:val="21"/>
                    <w:szCs w:val="21"/>
                  </w:rPr>
                  <w:t>Australia</w:t>
                </w:r>
              </w:smartTag>
            </w:smartTag>
            <w:r>
              <w:rPr>
                <w:rFonts w:ascii="Arial" w:hAnsi="Arial"/>
                <w:bCs/>
                <w:sz w:val="21"/>
                <w:szCs w:val="21"/>
              </w:rPr>
              <w:t>. What we propose is to utilise the transition towns’ model as an approach to transition of regional communities in the context of climate change and resource issues; and then to examine how the various aspects of public and private management, policy, learning and communication can integrate with local communities to identify and address social change. This involves linking the community-based transition town model with the policy-based structures of powerful public and private organisations. We believe that regional Australia has unique features (including the so-called “tyranny of distance”) that must materially affect the approach that is finally adopted in dealing with problems arising from climate change and its consequences, and that therefore the transition model offers a valuable community-driven framework for clarifying how those features can be addressed in concert with the political and economic centre.</w:t>
            </w:r>
          </w:p>
        </w:tc>
      </w:tr>
      <w:tr w:rsidR="001E2733" w:rsidRPr="00AA5891" w:rsidTr="00E1771C">
        <w:tblPrEx>
          <w:tblCellMar>
            <w:top w:w="0" w:type="dxa"/>
            <w:bottom w:w="0" w:type="dxa"/>
          </w:tblCellMar>
        </w:tblPrEx>
        <w:trPr>
          <w:cantSplit/>
          <w:trHeight w:val="111"/>
        </w:trPr>
        <w:tc>
          <w:tcPr>
            <w:tcW w:w="9300" w:type="dxa"/>
            <w:tcBorders>
              <w:top w:val="single" w:sz="2" w:space="0" w:color="auto"/>
              <w:left w:val="single" w:sz="12" w:space="0" w:color="auto"/>
              <w:bottom w:val="single" w:sz="12" w:space="0" w:color="auto"/>
              <w:right w:val="single" w:sz="12" w:space="0" w:color="auto"/>
            </w:tcBorders>
          </w:tcPr>
          <w:p w:rsidR="001E2733" w:rsidRPr="00AA5891" w:rsidRDefault="001E2733" w:rsidP="00E1771C">
            <w:pPr>
              <w:spacing w:before="120"/>
              <w:rPr>
                <w:rFonts w:ascii="Arial" w:hAnsi="Arial"/>
                <w:b/>
                <w:bCs/>
                <w:sz w:val="21"/>
                <w:szCs w:val="21"/>
              </w:rPr>
            </w:pPr>
          </w:p>
        </w:tc>
      </w:tr>
    </w:tbl>
    <w:p w:rsidR="00E10452" w:rsidRDefault="001E2733"/>
    <w:sectPr w:rsidR="00E10452" w:rsidSect="004162E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1E2733"/>
    <w:rsid w:val="00190E4B"/>
    <w:rsid w:val="001E2733"/>
    <w:rsid w:val="004162E4"/>
    <w:rsid w:val="00E235F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7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E2733"/>
    <w:rPr>
      <w:sz w:val="20"/>
      <w:szCs w:val="20"/>
    </w:rPr>
  </w:style>
  <w:style w:type="character" w:customStyle="1" w:styleId="FootnoteTextChar">
    <w:name w:val="Footnote Text Char"/>
    <w:basedOn w:val="DefaultParagraphFont"/>
    <w:link w:val="FootnoteText"/>
    <w:semiHidden/>
    <w:rsid w:val="001E2733"/>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2256</Characters>
  <Application>Microsoft Office Word</Application>
  <DocSecurity>0</DocSecurity>
  <Lines>18</Lines>
  <Paragraphs>5</Paragraphs>
  <ScaleCrop>false</ScaleCrop>
  <Company>University of Ballarat</Company>
  <LinksUpToDate>false</LinksUpToDate>
  <CharactersWithSpaces>2646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pwells</dc:creator>
  <cp:lastModifiedBy>pwells</cp:lastModifiedBy>
  <cp:revision>1</cp:revision>
  <dcterms:created xsi:type="dcterms:W3CDTF">2011-04-14T07:13:00Z</dcterms:created>
  <dcterms:modified xsi:type="dcterms:W3CDTF">2011-04-14T07:14:00Z</dcterms:modified>
</cp:coreProperties>
</file>