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B4" w:rsidRPr="00653346" w:rsidRDefault="00653346" w:rsidP="00653346">
      <w:pPr>
        <w:spacing w:line="360" w:lineRule="auto"/>
        <w:jc w:val="center"/>
        <w:rPr>
          <w:rFonts w:ascii="Helvetica" w:hAnsi="Helvetica"/>
          <w:b/>
          <w:lang w:val="en-AU"/>
        </w:rPr>
      </w:pPr>
      <w:r>
        <w:rPr>
          <w:rFonts w:ascii="Helvetica" w:hAnsi="Helvetica"/>
          <w:b/>
          <w:lang w:val="en-AU"/>
        </w:rPr>
        <w:t>Socio-Economic Positions: Are workers exposing themselves to harmful conditions?</w:t>
      </w:r>
    </w:p>
    <w:p w:rsidR="00653346" w:rsidRDefault="00653346" w:rsidP="00653346">
      <w:pPr>
        <w:spacing w:line="360" w:lineRule="auto"/>
        <w:rPr>
          <w:rFonts w:ascii="Helvetica" w:hAnsi="Helvetica"/>
          <w:lang w:val="en-AU"/>
        </w:rPr>
      </w:pPr>
    </w:p>
    <w:p w:rsidR="00653346" w:rsidRDefault="00653346" w:rsidP="00653346">
      <w:pPr>
        <w:spacing w:line="360" w:lineRule="auto"/>
        <w:rPr>
          <w:rFonts w:ascii="Helvetica" w:hAnsi="Helvetica"/>
          <w:lang w:val="en-AU"/>
        </w:rPr>
      </w:pPr>
    </w:p>
    <w:p w:rsidR="00A72A39" w:rsidRPr="003B5D9D" w:rsidRDefault="005D23D4" w:rsidP="00653346">
      <w:pPr>
        <w:spacing w:line="360" w:lineRule="auto"/>
        <w:rPr>
          <w:rFonts w:ascii="Helvetica" w:hAnsi="Helvetica"/>
          <w:lang w:val="en-AU"/>
        </w:rPr>
      </w:pPr>
      <w:r w:rsidRPr="003B5D9D">
        <w:rPr>
          <w:rFonts w:ascii="Helvetica" w:hAnsi="Helvetica"/>
          <w:lang w:val="en-AU"/>
        </w:rPr>
        <w:t>“</w:t>
      </w:r>
      <w:r w:rsidR="001163C8" w:rsidRPr="003B5D9D">
        <w:rPr>
          <w:rFonts w:ascii="Helvetica" w:hAnsi="Helvetica"/>
          <w:lang w:val="en-AU"/>
        </w:rPr>
        <w:t>A social model of health is a framework for thinking about health. Within this framework, improvements in health and wellbeing are achieved by addressing the social and envir</w:t>
      </w:r>
      <w:r w:rsidR="00A72A39" w:rsidRPr="003B5D9D">
        <w:rPr>
          <w:rFonts w:ascii="Helvetica" w:hAnsi="Helvetica"/>
          <w:lang w:val="en-AU"/>
        </w:rPr>
        <w:t>onmental determinants</w:t>
      </w:r>
      <w:r w:rsidRPr="003B5D9D">
        <w:rPr>
          <w:rFonts w:ascii="Helvetica" w:hAnsi="Helvetica"/>
          <w:lang w:val="en-AU"/>
        </w:rPr>
        <w:t>”</w:t>
      </w:r>
      <w:r w:rsidR="00A72A39" w:rsidRPr="003B5D9D">
        <w:rPr>
          <w:rFonts w:ascii="Helvetica" w:hAnsi="Helvetica"/>
          <w:lang w:val="en-AU"/>
        </w:rPr>
        <w:t>,</w:t>
      </w:r>
      <w:r w:rsidR="00C91A86" w:rsidRPr="003B5D9D">
        <w:rPr>
          <w:rFonts w:ascii="Helvetica" w:hAnsi="Helvetica"/>
          <w:lang w:val="en-AU"/>
        </w:rPr>
        <w:t xml:space="preserve"> the Determinants of Health</w:t>
      </w:r>
      <w:r w:rsidR="00A72A39" w:rsidRPr="003B5D9D">
        <w:rPr>
          <w:rFonts w:ascii="Helvetica" w:hAnsi="Helvetica"/>
          <w:lang w:val="en-AU"/>
        </w:rPr>
        <w:t xml:space="preserve"> (2009) From this, it</w:t>
      </w:r>
      <w:r w:rsidR="001163C8" w:rsidRPr="003B5D9D">
        <w:rPr>
          <w:rFonts w:ascii="Helvetica" w:hAnsi="Helvetica"/>
          <w:lang w:val="en-AU"/>
        </w:rPr>
        <w:t xml:space="preserve"> has been discussed that within socioeconomic classes, the likelihood of standard working conditions falls when workers come from lower income</w:t>
      </w:r>
      <w:r w:rsidR="00A72A39" w:rsidRPr="003B5D9D">
        <w:rPr>
          <w:rFonts w:ascii="Helvetica" w:hAnsi="Helvetica"/>
          <w:lang w:val="en-AU"/>
        </w:rPr>
        <w:t>,</w:t>
      </w:r>
      <w:r w:rsidR="006D0118" w:rsidRPr="003B5D9D">
        <w:rPr>
          <w:rFonts w:ascii="Helvetica" w:hAnsi="Helvetica"/>
          <w:lang w:val="en-AU"/>
        </w:rPr>
        <w:t xml:space="preserve"> </w:t>
      </w:r>
      <w:proofErr w:type="spellStart"/>
      <w:r w:rsidR="006D0118" w:rsidRPr="003B5D9D">
        <w:rPr>
          <w:rFonts w:ascii="Helvetica" w:hAnsi="Helvetica"/>
          <w:lang w:val="en-AU"/>
        </w:rPr>
        <w:t>Keleher</w:t>
      </w:r>
      <w:proofErr w:type="spellEnd"/>
      <w:r w:rsidR="006D0118" w:rsidRPr="003B5D9D">
        <w:rPr>
          <w:rFonts w:ascii="Helvetica" w:hAnsi="Helvetica"/>
          <w:lang w:val="en-AU"/>
        </w:rPr>
        <w:t xml:space="preserve">, H., &amp; </w:t>
      </w:r>
      <w:proofErr w:type="spellStart"/>
      <w:r w:rsidR="006D0118" w:rsidRPr="003B5D9D">
        <w:rPr>
          <w:rFonts w:ascii="Helvetica" w:hAnsi="Helvetica"/>
          <w:lang w:val="en-AU"/>
        </w:rPr>
        <w:t>Macdougall</w:t>
      </w:r>
      <w:proofErr w:type="spellEnd"/>
      <w:r w:rsidR="006D0118" w:rsidRPr="003B5D9D">
        <w:rPr>
          <w:rFonts w:ascii="Helvetica" w:hAnsi="Helvetica"/>
          <w:lang w:val="en-AU"/>
        </w:rPr>
        <w:t>, C.</w:t>
      </w:r>
      <w:r w:rsidR="00CD2A50" w:rsidRPr="003B5D9D">
        <w:rPr>
          <w:rFonts w:ascii="Helvetica" w:hAnsi="Helvetica"/>
          <w:lang w:val="en-AU"/>
        </w:rPr>
        <w:t xml:space="preserve"> </w:t>
      </w:r>
      <w:r w:rsidR="006D0118" w:rsidRPr="003B5D9D">
        <w:rPr>
          <w:rFonts w:ascii="Helvetica" w:hAnsi="Helvetica"/>
          <w:lang w:val="en-AU"/>
        </w:rPr>
        <w:t>(2009)</w:t>
      </w:r>
      <w:r w:rsidR="00CD2A50" w:rsidRPr="003B5D9D">
        <w:rPr>
          <w:rFonts w:ascii="Helvetica" w:hAnsi="Helvetica"/>
          <w:lang w:val="en-AU"/>
        </w:rPr>
        <w:t>.</w:t>
      </w:r>
      <w:r w:rsidR="00A72A39" w:rsidRPr="003B5D9D">
        <w:rPr>
          <w:rFonts w:ascii="Helvetica" w:hAnsi="Helvetica"/>
          <w:lang w:val="en-AU"/>
        </w:rPr>
        <w:t xml:space="preserve"> </w:t>
      </w:r>
      <w:r w:rsidR="001163C8" w:rsidRPr="003B5D9D">
        <w:rPr>
          <w:rFonts w:ascii="Helvetica" w:hAnsi="Helvetica"/>
          <w:lang w:val="en-AU"/>
        </w:rPr>
        <w:t>Health for these workers is said to be harmful, but exactly how</w:t>
      </w:r>
      <w:r w:rsidR="00A72A39" w:rsidRPr="003B5D9D">
        <w:rPr>
          <w:rFonts w:ascii="Helvetica" w:hAnsi="Helvetica"/>
          <w:lang w:val="en-AU"/>
        </w:rPr>
        <w:t>,</w:t>
      </w:r>
      <w:r w:rsidR="001163C8" w:rsidRPr="003B5D9D">
        <w:rPr>
          <w:rFonts w:ascii="Helvetica" w:hAnsi="Helvetica"/>
          <w:lang w:val="en-AU"/>
        </w:rPr>
        <w:t xml:space="preserve"> is what </w:t>
      </w:r>
      <w:r w:rsidR="00A72A39" w:rsidRPr="003B5D9D">
        <w:rPr>
          <w:rFonts w:ascii="Helvetica" w:hAnsi="Helvetica"/>
          <w:lang w:val="en-AU"/>
        </w:rPr>
        <w:t>will be discussed in this essay,</w:t>
      </w:r>
      <w:r w:rsidR="001163C8" w:rsidRPr="003B5D9D">
        <w:rPr>
          <w:rFonts w:ascii="Helvetica" w:hAnsi="Helvetica"/>
          <w:lang w:val="en-AU"/>
        </w:rPr>
        <w:t xml:space="preserve"> and to understand how we must first look at what is health. </w:t>
      </w:r>
    </w:p>
    <w:p w:rsidR="00A72A39" w:rsidRPr="003B5D9D" w:rsidRDefault="00A72A39" w:rsidP="00653346">
      <w:pPr>
        <w:spacing w:line="360" w:lineRule="auto"/>
        <w:rPr>
          <w:rFonts w:ascii="Helvetica" w:hAnsi="Helvetica"/>
          <w:lang w:val="en-AU"/>
        </w:rPr>
      </w:pPr>
    </w:p>
    <w:p w:rsidR="00C91A86" w:rsidRPr="003B5D9D" w:rsidRDefault="001163C8" w:rsidP="00653346">
      <w:pPr>
        <w:spacing w:line="360" w:lineRule="auto"/>
        <w:rPr>
          <w:rFonts w:ascii="Helvetica" w:hAnsi="Helvetica"/>
          <w:lang w:val="en-AU"/>
        </w:rPr>
      </w:pPr>
      <w:r w:rsidRPr="003B5D9D">
        <w:rPr>
          <w:rFonts w:ascii="Helvetica" w:hAnsi="Helvetica"/>
          <w:lang w:val="en-AU"/>
        </w:rPr>
        <w:t>Health is a complete state of physical, mental and social wellbeing, not merely the absence of disease</w:t>
      </w:r>
      <w:r w:rsidR="000F632B" w:rsidRPr="003B5D9D">
        <w:rPr>
          <w:rFonts w:ascii="Helvetica" w:hAnsi="Helvetica"/>
          <w:lang w:val="en-AU"/>
        </w:rPr>
        <w:t xml:space="preserve"> or infirmity</w:t>
      </w:r>
      <w:r w:rsidR="0041063D" w:rsidRPr="003B5D9D">
        <w:rPr>
          <w:rFonts w:ascii="Helvetica" w:hAnsi="Helvetica"/>
          <w:lang w:val="en-AU"/>
        </w:rPr>
        <w:t>,</w:t>
      </w:r>
      <w:r w:rsidR="006D0118" w:rsidRPr="003B5D9D">
        <w:rPr>
          <w:rFonts w:ascii="Helvetica" w:hAnsi="Helvetica"/>
          <w:lang w:val="en-AU"/>
        </w:rPr>
        <w:t xml:space="preserve"> The Determinants of Health </w:t>
      </w:r>
      <w:r w:rsidR="0041063D" w:rsidRPr="003B5D9D">
        <w:rPr>
          <w:rFonts w:ascii="Helvetica" w:hAnsi="Helvetica"/>
          <w:lang w:val="en-AU"/>
        </w:rPr>
        <w:t xml:space="preserve">(2009). </w:t>
      </w:r>
      <w:r w:rsidR="006D0118" w:rsidRPr="003B5D9D">
        <w:rPr>
          <w:rFonts w:ascii="Helvetica" w:hAnsi="Helvetica"/>
          <w:lang w:val="en-AU"/>
        </w:rPr>
        <w:t xml:space="preserve"> </w:t>
      </w:r>
      <w:r w:rsidR="00566FB8" w:rsidRPr="003B5D9D">
        <w:rPr>
          <w:rFonts w:ascii="Helvetica" w:hAnsi="Helvetica" w:cs="Helvetica"/>
          <w:color w:val="141413"/>
          <w:szCs w:val="40"/>
        </w:rPr>
        <w:t>S</w:t>
      </w:r>
      <w:r w:rsidR="00566FB8" w:rsidRPr="003B5D9D">
        <w:rPr>
          <w:rFonts w:ascii="Helvetica" w:hAnsi="Helvetica" w:cs="Times"/>
          <w:color w:val="141413"/>
          <w:szCs w:val="17"/>
        </w:rPr>
        <w:t xml:space="preserve">ocio-economic position refers to the social and economic factors that influence individuals’ position in the economic structure, </w:t>
      </w:r>
      <w:proofErr w:type="spellStart"/>
      <w:r w:rsidR="00155977" w:rsidRPr="003B5D9D">
        <w:rPr>
          <w:rFonts w:ascii="Helvetica" w:hAnsi="Helvetica" w:cs="Times"/>
          <w:color w:val="141413"/>
          <w:szCs w:val="17"/>
        </w:rPr>
        <w:t>Regidor</w:t>
      </w:r>
      <w:proofErr w:type="spellEnd"/>
      <w:r w:rsidR="00155977" w:rsidRPr="003B5D9D">
        <w:rPr>
          <w:rFonts w:ascii="Helvetica" w:hAnsi="Helvetica" w:cs="Times"/>
          <w:color w:val="141413"/>
          <w:szCs w:val="17"/>
        </w:rPr>
        <w:t xml:space="preserve"> Et al</w:t>
      </w:r>
      <w:r w:rsidR="00566FB8" w:rsidRPr="003B5D9D">
        <w:rPr>
          <w:rFonts w:ascii="Helvetica" w:hAnsi="Helvetica" w:cs="Times"/>
          <w:color w:val="141413"/>
          <w:szCs w:val="17"/>
        </w:rPr>
        <w:t xml:space="preserve"> (2010). </w:t>
      </w:r>
      <w:r w:rsidR="00566FB8" w:rsidRPr="003B5D9D">
        <w:rPr>
          <w:rFonts w:ascii="Helvetica" w:hAnsi="Helvetica"/>
          <w:lang w:val="en-AU"/>
        </w:rPr>
        <w:t>To understand whether or not the lower the socioeconomic position, the more likely a worker will be expose to more hazardous conditions, we must first look at the classes and rankings of socioeconomic positions in society.</w:t>
      </w:r>
      <w:r w:rsidR="00C91A86" w:rsidRPr="003B5D9D">
        <w:rPr>
          <w:rFonts w:ascii="Helvetica" w:hAnsi="Helvetica"/>
          <w:lang w:val="en-AU"/>
        </w:rPr>
        <w:t xml:space="preserve"> According to the Victorian Department of Health, socioeconomic health can be categorised into specification categories; beginning with the individual, moving towards groups/family, then onto community then finally political/social and economical, The Determinants of Health (2009). </w:t>
      </w:r>
    </w:p>
    <w:p w:rsidR="00C91A86" w:rsidRPr="003B5D9D" w:rsidRDefault="00C91A86" w:rsidP="00653346">
      <w:pPr>
        <w:spacing w:line="360" w:lineRule="auto"/>
        <w:rPr>
          <w:rFonts w:ascii="Helvetica" w:hAnsi="Helvetica"/>
          <w:lang w:val="en-AU"/>
        </w:rPr>
      </w:pPr>
    </w:p>
    <w:p w:rsidR="000D65B4" w:rsidRPr="003B5D9D" w:rsidRDefault="00C91A86" w:rsidP="00653346">
      <w:pPr>
        <w:spacing w:line="360" w:lineRule="auto"/>
        <w:rPr>
          <w:rFonts w:ascii="Helvetica" w:hAnsi="Helvetica"/>
          <w:lang w:val="en-AU"/>
        </w:rPr>
      </w:pPr>
      <w:r w:rsidRPr="003B5D9D">
        <w:rPr>
          <w:rFonts w:ascii="Helvetica" w:hAnsi="Helvetica"/>
          <w:lang w:val="en-AU"/>
        </w:rPr>
        <w:t>From this hierarchy it is possible to categorise health more specifically, and through this chart the level or standard of socioeconomic jobs or workplaces can be assessed. Focusing on lower socioeconomic jobs, this chart can explain why lower income households or workers are more likely to choose working conditions that can be harmful to their health. Beginning with the individual. Stu</w:t>
      </w:r>
      <w:r w:rsidR="00DD57C6" w:rsidRPr="003B5D9D">
        <w:rPr>
          <w:rFonts w:ascii="Helvetica" w:hAnsi="Helvetica"/>
          <w:lang w:val="en-AU"/>
        </w:rPr>
        <w:t xml:space="preserve">dies have shown that individuals that </w:t>
      </w:r>
      <w:r w:rsidRPr="003B5D9D">
        <w:rPr>
          <w:rFonts w:ascii="Helvetica" w:hAnsi="Helvetica"/>
          <w:lang w:val="en-AU"/>
        </w:rPr>
        <w:t>come from a poorer household, are less likely to be educated correctly on working conditions and self-health</w:t>
      </w:r>
      <w:r w:rsidR="000634EC" w:rsidRPr="003B5D9D">
        <w:rPr>
          <w:rFonts w:ascii="Helvetica" w:hAnsi="Helvetica"/>
          <w:lang w:val="en-AU"/>
        </w:rPr>
        <w:t xml:space="preserve"> </w:t>
      </w:r>
      <w:r w:rsidR="00DD57C6" w:rsidRPr="003B5D9D">
        <w:rPr>
          <w:rFonts w:ascii="Helvetica" w:hAnsi="Helvetica"/>
          <w:lang w:val="en-AU"/>
        </w:rPr>
        <w:t>Australian Institute of Health and Welfare (2008) This means they tend to engage in riskier behaviour</w:t>
      </w:r>
      <w:r w:rsidR="00BF31AC" w:rsidRPr="003B5D9D">
        <w:rPr>
          <w:rFonts w:ascii="Helvetica" w:hAnsi="Helvetica"/>
          <w:lang w:val="en-AU"/>
        </w:rPr>
        <w:t xml:space="preserve"> among other groups</w:t>
      </w:r>
      <w:r w:rsidR="00DD57C6" w:rsidRPr="003B5D9D">
        <w:rPr>
          <w:rFonts w:ascii="Helvetica" w:hAnsi="Helvetica"/>
          <w:lang w:val="en-AU"/>
        </w:rPr>
        <w:t xml:space="preserve"> and as a result are more likely to engage in a workplace that is not safe, or as they are commonly known as, blue-collar jobs, Australian Institute of Health and Welfare (2008). </w:t>
      </w:r>
      <w:r w:rsidR="00BF31AC" w:rsidRPr="003B5D9D">
        <w:rPr>
          <w:rFonts w:ascii="Helvetica" w:hAnsi="Helvetica"/>
          <w:lang w:val="en-AU"/>
        </w:rPr>
        <w:t xml:space="preserve"> From this they are already a part of a community that tends to be a low-income or from a low socioeconomic background. </w:t>
      </w:r>
      <w:r w:rsidR="003869CB" w:rsidRPr="003B5D9D">
        <w:rPr>
          <w:rFonts w:ascii="Helvetica" w:hAnsi="Helvetica"/>
          <w:lang w:val="en-AU"/>
        </w:rPr>
        <w:t>As well as being more likely to come from a</w:t>
      </w:r>
      <w:r w:rsidR="00CD2A50" w:rsidRPr="003B5D9D">
        <w:rPr>
          <w:rFonts w:ascii="Helvetica" w:hAnsi="Helvetica"/>
          <w:lang w:val="en-AU"/>
        </w:rPr>
        <w:t>n</w:t>
      </w:r>
      <w:r w:rsidR="003869CB" w:rsidRPr="003B5D9D">
        <w:rPr>
          <w:rFonts w:ascii="Helvetica" w:hAnsi="Helvetica"/>
          <w:lang w:val="en-AU"/>
        </w:rPr>
        <w:t xml:space="preserve"> educationally deprived background, these individuals are also likely to come from outer subu</w:t>
      </w:r>
      <w:r w:rsidR="00CD2A50" w:rsidRPr="003B5D9D">
        <w:rPr>
          <w:rFonts w:ascii="Helvetica" w:hAnsi="Helvetica"/>
          <w:lang w:val="en-AU"/>
        </w:rPr>
        <w:t>rbs</w:t>
      </w:r>
      <w:r w:rsidR="003869CB" w:rsidRPr="003B5D9D">
        <w:rPr>
          <w:rFonts w:ascii="Helvetica" w:hAnsi="Helvetica"/>
          <w:lang w:val="en-AU"/>
        </w:rPr>
        <w:t xml:space="preserve"> that lack resources from the city. </w:t>
      </w:r>
      <w:r w:rsidR="00BF31AC" w:rsidRPr="003B5D9D">
        <w:rPr>
          <w:rFonts w:ascii="Helvetica" w:hAnsi="Helvetica"/>
          <w:lang w:val="en-AU"/>
        </w:rPr>
        <w:t>This means they tend to only focus on social, political or economical needs that are</w:t>
      </w:r>
      <w:r w:rsidR="000D65B4" w:rsidRPr="003B5D9D">
        <w:rPr>
          <w:rFonts w:ascii="Helvetica" w:hAnsi="Helvetica"/>
          <w:lang w:val="en-AU"/>
        </w:rPr>
        <w:t xml:space="preserve"> only related to their own class</w:t>
      </w:r>
      <w:r w:rsidR="00BF31AC" w:rsidRPr="003B5D9D">
        <w:rPr>
          <w:rFonts w:ascii="Helvetica" w:hAnsi="Helvetica"/>
          <w:lang w:val="en-AU"/>
        </w:rPr>
        <w:t xml:space="preserve">, </w:t>
      </w:r>
      <w:proofErr w:type="spellStart"/>
      <w:r w:rsidR="000D65B4" w:rsidRPr="003B5D9D">
        <w:rPr>
          <w:rFonts w:ascii="Helvetica" w:hAnsi="Helvetica"/>
          <w:lang w:val="en-AU"/>
        </w:rPr>
        <w:t>Keleher</w:t>
      </w:r>
      <w:proofErr w:type="spellEnd"/>
      <w:r w:rsidR="000D65B4" w:rsidRPr="003B5D9D">
        <w:rPr>
          <w:rFonts w:ascii="Helvetica" w:hAnsi="Helvetica"/>
          <w:lang w:val="en-AU"/>
        </w:rPr>
        <w:t xml:space="preserve">, J., &amp; </w:t>
      </w:r>
      <w:proofErr w:type="spellStart"/>
      <w:r w:rsidR="000D65B4" w:rsidRPr="003B5D9D">
        <w:rPr>
          <w:rFonts w:ascii="Helvetica" w:hAnsi="Helvetica"/>
          <w:lang w:val="en-AU"/>
        </w:rPr>
        <w:t>Macdougall</w:t>
      </w:r>
      <w:proofErr w:type="spellEnd"/>
      <w:r w:rsidR="000D65B4" w:rsidRPr="003B5D9D">
        <w:rPr>
          <w:rFonts w:ascii="Helvetica" w:hAnsi="Helvetica"/>
          <w:lang w:val="en-AU"/>
        </w:rPr>
        <w:t>, C. (2009).</w:t>
      </w:r>
    </w:p>
    <w:p w:rsidR="000D65B4" w:rsidRPr="003B5D9D" w:rsidRDefault="000D65B4" w:rsidP="00653346">
      <w:pPr>
        <w:spacing w:line="360" w:lineRule="auto"/>
        <w:rPr>
          <w:rFonts w:ascii="Helvetica" w:hAnsi="Helvetica"/>
          <w:lang w:val="en-AU"/>
        </w:rPr>
      </w:pPr>
    </w:p>
    <w:p w:rsidR="004E7678" w:rsidRPr="003B5D9D" w:rsidRDefault="000D65B4" w:rsidP="00653346">
      <w:pPr>
        <w:spacing w:line="360" w:lineRule="auto"/>
        <w:rPr>
          <w:rFonts w:ascii="Helvetica" w:hAnsi="Helvetica"/>
          <w:lang w:val="en-AU"/>
        </w:rPr>
      </w:pPr>
      <w:r w:rsidRPr="003B5D9D">
        <w:rPr>
          <w:rFonts w:ascii="Helvetica" w:hAnsi="Helvetica"/>
          <w:lang w:val="en-AU"/>
        </w:rPr>
        <w:t>From this, we are able to see that it tends to be that those who are from a lower class or socioeconomic position are already at a disadvantage when entering the work force, and due to the fact they often do not have the right educational skills will find work in more harmful pos</w:t>
      </w:r>
      <w:r w:rsidR="00031239" w:rsidRPr="003B5D9D">
        <w:rPr>
          <w:rFonts w:ascii="Helvetica" w:hAnsi="Helvetica"/>
          <w:lang w:val="en-AU"/>
        </w:rPr>
        <w:t>i</w:t>
      </w:r>
      <w:r w:rsidRPr="003B5D9D">
        <w:rPr>
          <w:rFonts w:ascii="Helvetica" w:hAnsi="Helvetica"/>
          <w:lang w:val="en-AU"/>
        </w:rPr>
        <w:t>tions.</w:t>
      </w:r>
      <w:r w:rsidR="00DC646F" w:rsidRPr="003B5D9D">
        <w:rPr>
          <w:rFonts w:ascii="Helvetica" w:hAnsi="Helvetica"/>
          <w:lang w:val="en-AU"/>
        </w:rPr>
        <w:t xml:space="preserve"> These work</w:t>
      </w:r>
      <w:r w:rsidR="00B446D7" w:rsidRPr="003B5D9D">
        <w:rPr>
          <w:rFonts w:ascii="Helvetica" w:hAnsi="Helvetica"/>
          <w:lang w:val="en-AU"/>
        </w:rPr>
        <w:t xml:space="preserve">places, such as bricklaying, plumbing, electrician and carpentry are careers that tend to be more open and subjective as to what is required of them. These careers are often </w:t>
      </w:r>
      <w:r w:rsidR="005D23D4" w:rsidRPr="003B5D9D">
        <w:rPr>
          <w:rFonts w:ascii="Helvetica" w:hAnsi="Helvetica"/>
          <w:lang w:val="en-AU"/>
        </w:rPr>
        <w:t xml:space="preserve">seen as labouring careers, which, while being true, is often misconceived as meaning the workers must inevitably encounter ailments, </w:t>
      </w:r>
      <w:r w:rsidR="000826F4" w:rsidRPr="003B5D9D">
        <w:rPr>
          <w:rFonts w:ascii="Helvetica" w:hAnsi="Helvetica"/>
          <w:lang w:val="en-AU"/>
        </w:rPr>
        <w:t>Murray, G., et al (2004)</w:t>
      </w:r>
      <w:r w:rsidR="001A1721" w:rsidRPr="003B5D9D">
        <w:rPr>
          <w:rFonts w:ascii="Helvetica" w:hAnsi="Helvetica"/>
          <w:lang w:val="en-AU"/>
        </w:rPr>
        <w:t xml:space="preserve"> This can be linked back to the poor educational resources these classes are exposed to. </w:t>
      </w:r>
    </w:p>
    <w:p w:rsidR="004E7678" w:rsidRPr="003B5D9D" w:rsidRDefault="004E7678" w:rsidP="00653346">
      <w:pPr>
        <w:spacing w:line="360" w:lineRule="auto"/>
        <w:rPr>
          <w:rFonts w:ascii="Helvetica" w:hAnsi="Helvetica"/>
          <w:lang w:val="en-AU"/>
        </w:rPr>
      </w:pPr>
    </w:p>
    <w:p w:rsidR="004A2BF3" w:rsidRPr="003B5D9D" w:rsidRDefault="004E7678" w:rsidP="00653346">
      <w:pPr>
        <w:spacing w:line="360" w:lineRule="auto"/>
        <w:rPr>
          <w:rFonts w:ascii="Helvetica" w:hAnsi="Helvetica" w:cs="Helvetica"/>
          <w:color w:val="1A1718"/>
          <w:szCs w:val="17"/>
        </w:rPr>
      </w:pPr>
      <w:r w:rsidRPr="003B5D9D">
        <w:rPr>
          <w:rFonts w:ascii="Helvetica" w:hAnsi="Helvetica"/>
          <w:lang w:val="en-AU"/>
        </w:rPr>
        <w:t xml:space="preserve">To look at prevention for “blue collar” worker, addressing what illnesses, physical and perhaps psychological must occur first of all. Studies done on lower class workers have revealed that due to their lack of understanding they develop bad working habits and expose themselves to more dangerous conditions, Murray, G., et al (2004). Such ailments that develop are </w:t>
      </w:r>
      <w:r w:rsidR="004A2BF3" w:rsidRPr="003B5D9D">
        <w:rPr>
          <w:rFonts w:ascii="Helvetica" w:hAnsi="Helvetica"/>
          <w:lang w:val="en-AU"/>
        </w:rPr>
        <w:t xml:space="preserve">chronic back pain, stress etc. It is also noted that their health is affected in ways such as lack of exercise. Low intake of healthy food and even smoking habits develop as a result of work being unfulfilling, </w:t>
      </w:r>
      <w:r w:rsidR="004A2BF3" w:rsidRPr="003B5D9D">
        <w:rPr>
          <w:rFonts w:ascii="Helvetica" w:hAnsi="Helvetica" w:cs="Helvetica"/>
          <w:color w:val="1A1718"/>
          <w:szCs w:val="17"/>
        </w:rPr>
        <w:t>Australian Institute of Health and Welfare (2008).</w:t>
      </w:r>
      <w:r w:rsidR="00CB4A75">
        <w:rPr>
          <w:rFonts w:ascii="Helvetica" w:hAnsi="Helvetica" w:cs="Helvetica"/>
          <w:color w:val="1A1718"/>
          <w:szCs w:val="17"/>
        </w:rPr>
        <w:t xml:space="preserve"> These workers are also being exposed to environments such as work yards, unknown houses and with tools and machinery that alone are harmful without appropriate training.</w:t>
      </w:r>
    </w:p>
    <w:p w:rsidR="00A96344" w:rsidRDefault="00A96344" w:rsidP="00653346">
      <w:pPr>
        <w:spacing w:line="360" w:lineRule="auto"/>
        <w:rPr>
          <w:rFonts w:ascii="Helvetica" w:hAnsi="Helvetica" w:cs="Helvetica"/>
          <w:color w:val="1A1718"/>
          <w:szCs w:val="17"/>
        </w:rPr>
      </w:pPr>
    </w:p>
    <w:p w:rsidR="00CB4A75" w:rsidRDefault="00A96344" w:rsidP="00653346">
      <w:pPr>
        <w:spacing w:line="360" w:lineRule="auto"/>
        <w:rPr>
          <w:rFonts w:ascii="Helvetica" w:hAnsi="Helvetica"/>
          <w:lang w:val="en-AU"/>
        </w:rPr>
      </w:pPr>
      <w:r>
        <w:rPr>
          <w:rFonts w:ascii="Helvetica" w:hAnsi="Helvetica"/>
          <w:lang w:val="en-AU"/>
        </w:rPr>
        <w:t xml:space="preserve">The general pattern of better health among those socio-economically better off is found across time periods, demographic and various measures of SE position, Lynch, J.W, Kaplan, </w:t>
      </w:r>
      <w:proofErr w:type="gramStart"/>
      <w:r>
        <w:rPr>
          <w:rFonts w:ascii="Helvetica" w:hAnsi="Helvetica"/>
          <w:lang w:val="en-AU"/>
        </w:rPr>
        <w:t>G. A.</w:t>
      </w:r>
      <w:proofErr w:type="gramEnd"/>
      <w:r>
        <w:rPr>
          <w:rFonts w:ascii="Helvetica" w:hAnsi="Helvetica"/>
          <w:lang w:val="en-AU"/>
        </w:rPr>
        <w:t xml:space="preserve"> (2000). </w:t>
      </w:r>
      <w:r w:rsidR="004A2BF3" w:rsidRPr="003B5D9D">
        <w:rPr>
          <w:rFonts w:ascii="Helvetica" w:hAnsi="Helvetica" w:cs="Helvetica"/>
          <w:color w:val="1A1718"/>
          <w:szCs w:val="17"/>
        </w:rPr>
        <w:t>Prevention for these illnesses and various health issues primarily lies with unions and the government, because this is where the root of the problem begins</w:t>
      </w:r>
      <w:r w:rsidR="00CE4498" w:rsidRPr="003B5D9D">
        <w:rPr>
          <w:rFonts w:ascii="Helvetica" w:hAnsi="Helvetica" w:cs="Helvetica"/>
          <w:color w:val="1A1718"/>
          <w:szCs w:val="17"/>
        </w:rPr>
        <w:t>,</w:t>
      </w:r>
      <w:r w:rsidR="004A2BF3" w:rsidRPr="003B5D9D">
        <w:rPr>
          <w:rFonts w:ascii="Helvetica" w:hAnsi="Helvetica" w:cs="Helvetica"/>
          <w:color w:val="1A1718"/>
          <w:szCs w:val="17"/>
        </w:rPr>
        <w:t xml:space="preserve"> Australian Institute of Health and Welfare (2008).</w:t>
      </w:r>
      <w:r w:rsidR="00CE4498" w:rsidRPr="003B5D9D">
        <w:rPr>
          <w:rFonts w:ascii="Helvetica" w:hAnsi="Helvetica" w:cs="Helvetica"/>
          <w:color w:val="1A1718"/>
          <w:szCs w:val="17"/>
        </w:rPr>
        <w:t xml:space="preserve"> However, recently, as recent as January 1</w:t>
      </w:r>
      <w:r w:rsidR="00CE4498" w:rsidRPr="003B5D9D">
        <w:rPr>
          <w:rFonts w:ascii="Helvetica" w:hAnsi="Helvetica" w:cs="Helvetica"/>
          <w:color w:val="1A1718"/>
          <w:szCs w:val="17"/>
          <w:vertAlign w:val="superscript"/>
        </w:rPr>
        <w:t>st</w:t>
      </w:r>
      <w:r w:rsidR="00CE4498" w:rsidRPr="003B5D9D">
        <w:rPr>
          <w:rFonts w:ascii="Helvetica" w:hAnsi="Helvetica" w:cs="Helvetica"/>
          <w:color w:val="1A1718"/>
          <w:szCs w:val="17"/>
        </w:rPr>
        <w:t xml:space="preserve"> 2010, the Australian government introduced new laws that protec</w:t>
      </w:r>
      <w:r w:rsidR="00CA001E" w:rsidRPr="003B5D9D">
        <w:rPr>
          <w:rFonts w:ascii="Helvetica" w:hAnsi="Helvetica" w:cs="Helvetica"/>
          <w:color w:val="1A1718"/>
          <w:szCs w:val="17"/>
        </w:rPr>
        <w:t xml:space="preserve">t and serve as buffers for “blue </w:t>
      </w:r>
      <w:r w:rsidR="00CE4498" w:rsidRPr="003B5D9D">
        <w:rPr>
          <w:rFonts w:ascii="Helvetica" w:hAnsi="Helvetica" w:cs="Helvetica"/>
          <w:color w:val="1A1718"/>
          <w:szCs w:val="17"/>
        </w:rPr>
        <w:t>collar</w:t>
      </w:r>
      <w:r w:rsidR="00CA001E" w:rsidRPr="003B5D9D">
        <w:rPr>
          <w:rFonts w:ascii="Helvetica" w:hAnsi="Helvetica" w:cs="Helvetica"/>
          <w:color w:val="1A1718"/>
          <w:szCs w:val="17"/>
        </w:rPr>
        <w:t>”</w:t>
      </w:r>
      <w:r w:rsidR="003B5D9D" w:rsidRPr="003B5D9D">
        <w:rPr>
          <w:rFonts w:ascii="Helvetica" w:hAnsi="Helvetica" w:cs="Helvetica"/>
          <w:color w:val="1A1718"/>
          <w:szCs w:val="17"/>
        </w:rPr>
        <w:t xml:space="preserve"> workers, </w:t>
      </w:r>
      <w:r w:rsidR="003B5D9D" w:rsidRPr="003B5D9D">
        <w:rPr>
          <w:rFonts w:ascii="Helvetica" w:hAnsi="Helvetica"/>
          <w:lang w:val="en-AU"/>
        </w:rPr>
        <w:t>The Determinants of Health (2010)</w:t>
      </w:r>
      <w:r w:rsidR="00CB4A75">
        <w:rPr>
          <w:rFonts w:ascii="Helvetica" w:hAnsi="Helvetica"/>
          <w:lang w:val="en-AU"/>
        </w:rPr>
        <w:t xml:space="preserve">. </w:t>
      </w:r>
    </w:p>
    <w:p w:rsidR="00CB4A75" w:rsidRDefault="00CB4A75" w:rsidP="00653346">
      <w:pPr>
        <w:spacing w:line="360" w:lineRule="auto"/>
        <w:rPr>
          <w:rFonts w:ascii="Helvetica" w:hAnsi="Helvetica"/>
          <w:lang w:val="en-AU"/>
        </w:rPr>
      </w:pPr>
    </w:p>
    <w:p w:rsidR="003B5D9D" w:rsidRDefault="00CB4A75" w:rsidP="00653346">
      <w:pPr>
        <w:spacing w:line="360" w:lineRule="auto"/>
        <w:rPr>
          <w:rFonts w:ascii="Helvetica" w:hAnsi="Helvetica"/>
          <w:lang w:val="en-AU"/>
        </w:rPr>
      </w:pPr>
      <w:r>
        <w:rPr>
          <w:rFonts w:ascii="Helvetica" w:hAnsi="Helvetica"/>
          <w:lang w:val="en-AU"/>
        </w:rPr>
        <w:t xml:space="preserve">The lower socio-economic workers it seems are more likely to be exposed to more harmful working conditions due to their lack of education and environmental exposures. Their illnesses and health problems, physical and otherwise are contributed to a lifestyle that they are socially pinned to. It is clear that these workers are more likely to be exposed to dangerous or hazardous </w:t>
      </w:r>
      <w:r w:rsidR="00B419C9">
        <w:rPr>
          <w:rFonts w:ascii="Helvetica" w:hAnsi="Helvetica"/>
          <w:lang w:val="en-AU"/>
        </w:rPr>
        <w:t>conditions. These</w:t>
      </w:r>
      <w:r w:rsidR="00A95C33">
        <w:rPr>
          <w:rFonts w:ascii="Helvetica" w:hAnsi="Helvetica"/>
          <w:lang w:val="en-AU"/>
        </w:rPr>
        <w:t xml:space="preserve"> conditions are being reversed though, with introductions of the workplace reforms, while lower socio-economic workers are still working lower standards of workplace safety, are starting to see a turn in the reforms, which is a step towards safer workplaces.</w:t>
      </w:r>
    </w:p>
    <w:p w:rsidR="00776EF6" w:rsidRDefault="00776EF6" w:rsidP="00653346">
      <w:pPr>
        <w:spacing w:line="360" w:lineRule="auto"/>
        <w:rPr>
          <w:rFonts w:ascii="Helvetica" w:hAnsi="Helvetica"/>
          <w:lang w:val="en-AU"/>
        </w:rPr>
      </w:pPr>
    </w:p>
    <w:p w:rsidR="00CD2A50" w:rsidRPr="003B5D9D" w:rsidRDefault="00CD2A50" w:rsidP="00653346">
      <w:pPr>
        <w:spacing w:line="360" w:lineRule="auto"/>
        <w:rPr>
          <w:rFonts w:ascii="Helvetica" w:hAnsi="Helvetica"/>
          <w:lang w:val="en-AU"/>
        </w:rPr>
      </w:pPr>
    </w:p>
    <w:p w:rsidR="00566FB8" w:rsidRPr="003B5D9D" w:rsidRDefault="00566FB8" w:rsidP="00653346">
      <w:pPr>
        <w:spacing w:line="360" w:lineRule="auto"/>
        <w:rPr>
          <w:rFonts w:ascii="Helvetica" w:hAnsi="Helvetica"/>
          <w:lang w:val="en-AU"/>
        </w:rPr>
      </w:pPr>
    </w:p>
    <w:p w:rsidR="00566FB8" w:rsidRPr="003B5D9D" w:rsidRDefault="00566FB8" w:rsidP="00653346">
      <w:pPr>
        <w:spacing w:line="360" w:lineRule="auto"/>
        <w:rPr>
          <w:rFonts w:ascii="Helvetica" w:hAnsi="Helvetica"/>
          <w:lang w:val="en-AU"/>
        </w:rPr>
      </w:pPr>
    </w:p>
    <w:p w:rsidR="00566FB8" w:rsidRPr="003B5D9D" w:rsidRDefault="00566FB8" w:rsidP="00653346">
      <w:pPr>
        <w:spacing w:line="360" w:lineRule="auto"/>
        <w:rPr>
          <w:rFonts w:ascii="Helvetica" w:hAnsi="Helvetica"/>
          <w:lang w:val="en-AU"/>
        </w:rPr>
      </w:pPr>
    </w:p>
    <w:p w:rsidR="00566FB8" w:rsidRPr="003B5D9D" w:rsidRDefault="00566FB8" w:rsidP="00653346">
      <w:pPr>
        <w:spacing w:line="360" w:lineRule="auto"/>
        <w:rPr>
          <w:rFonts w:ascii="Helvetica" w:hAnsi="Helvetica"/>
          <w:lang w:val="en-AU"/>
        </w:rPr>
      </w:pPr>
    </w:p>
    <w:p w:rsidR="000F632B" w:rsidRPr="003B5D9D" w:rsidRDefault="000F632B" w:rsidP="00653346">
      <w:pPr>
        <w:spacing w:line="360" w:lineRule="auto"/>
        <w:rPr>
          <w:rFonts w:ascii="Helvetica" w:hAnsi="Helvetica"/>
          <w:lang w:val="en-AU"/>
        </w:rPr>
      </w:pPr>
    </w:p>
    <w:p w:rsidR="0060311F" w:rsidRPr="003B5D9D" w:rsidRDefault="0060311F" w:rsidP="00653346">
      <w:pPr>
        <w:spacing w:line="360" w:lineRule="auto"/>
        <w:rPr>
          <w:rFonts w:ascii="Helvetica" w:hAnsi="Helvetica"/>
          <w:lang w:val="en-AU"/>
        </w:rPr>
      </w:pPr>
    </w:p>
    <w:p w:rsidR="00566FB8" w:rsidRPr="003B5D9D" w:rsidRDefault="00566FB8" w:rsidP="00653346">
      <w:pPr>
        <w:spacing w:line="360" w:lineRule="auto"/>
        <w:rPr>
          <w:rFonts w:ascii="Helvetica" w:hAnsi="Helvetica"/>
          <w:lang w:val="en-AU"/>
        </w:rPr>
      </w:pPr>
    </w:p>
    <w:p w:rsidR="00566FB8" w:rsidRPr="003B5D9D" w:rsidRDefault="00566FB8" w:rsidP="00653346">
      <w:pPr>
        <w:spacing w:line="360" w:lineRule="auto"/>
        <w:rPr>
          <w:rFonts w:ascii="Helvetica" w:hAnsi="Helvetica"/>
          <w:lang w:val="en-AU"/>
        </w:rPr>
      </w:pPr>
    </w:p>
    <w:p w:rsidR="00653346" w:rsidRDefault="00653346" w:rsidP="00653346">
      <w:pPr>
        <w:spacing w:line="360" w:lineRule="auto"/>
        <w:rPr>
          <w:rFonts w:ascii="Helvetica" w:hAnsi="Helvetica"/>
          <w:lang w:val="en-AU"/>
        </w:rPr>
      </w:pPr>
    </w:p>
    <w:p w:rsidR="00DD57C6" w:rsidRPr="003B5D9D" w:rsidRDefault="00DD57C6" w:rsidP="00653346">
      <w:pPr>
        <w:spacing w:line="360" w:lineRule="auto"/>
        <w:rPr>
          <w:rFonts w:ascii="Helvetica" w:hAnsi="Helvetica" w:cs="Times"/>
          <w:b/>
          <w:color w:val="1A1718"/>
          <w:szCs w:val="17"/>
        </w:rPr>
      </w:pPr>
      <w:r w:rsidRPr="003B5D9D">
        <w:rPr>
          <w:rFonts w:ascii="Helvetica" w:hAnsi="Helvetica" w:cs="Times"/>
          <w:b/>
          <w:color w:val="1A1718"/>
          <w:szCs w:val="17"/>
        </w:rPr>
        <w:t>References:</w:t>
      </w:r>
    </w:p>
    <w:p w:rsidR="00DD57C6" w:rsidRPr="003B5D9D" w:rsidRDefault="00DD57C6" w:rsidP="00653346">
      <w:pPr>
        <w:spacing w:line="360" w:lineRule="auto"/>
        <w:ind w:left="284" w:hanging="284"/>
        <w:rPr>
          <w:rFonts w:ascii="Helvetica" w:hAnsi="Helvetica" w:cs="Times"/>
          <w:color w:val="1A1718"/>
          <w:szCs w:val="17"/>
        </w:rPr>
      </w:pPr>
    </w:p>
    <w:p w:rsidR="00DD57C6" w:rsidRPr="003B5D9D" w:rsidRDefault="00DD57C6" w:rsidP="00653346">
      <w:pPr>
        <w:spacing w:line="360" w:lineRule="auto"/>
        <w:ind w:left="284" w:hanging="284"/>
        <w:rPr>
          <w:rFonts w:ascii="Helvetica" w:hAnsi="Helvetica"/>
          <w:lang w:val="en-AU"/>
        </w:rPr>
      </w:pPr>
      <w:proofErr w:type="gramStart"/>
      <w:r w:rsidRPr="003B5D9D">
        <w:rPr>
          <w:rFonts w:ascii="Helvetica" w:hAnsi="Helvetica" w:cs="Times"/>
          <w:color w:val="1A1718"/>
          <w:szCs w:val="17"/>
        </w:rPr>
        <w:t>Australian Institute of Health and Welfare 2008.</w:t>
      </w:r>
      <w:proofErr w:type="gramEnd"/>
      <w:r w:rsidRPr="003B5D9D">
        <w:rPr>
          <w:rFonts w:ascii="Helvetica" w:hAnsi="Helvetica" w:cs="Times"/>
          <w:color w:val="1A1718"/>
          <w:szCs w:val="17"/>
        </w:rPr>
        <w:t xml:space="preserve"> Australia’s health (2008) Catalogue no. AUS 99. Canberra: AIHW.</w:t>
      </w:r>
    </w:p>
    <w:p w:rsidR="00DD57C6" w:rsidRPr="003B5D9D" w:rsidRDefault="00DD57C6" w:rsidP="00653346">
      <w:pPr>
        <w:spacing w:line="360" w:lineRule="auto"/>
        <w:ind w:left="284" w:hanging="284"/>
        <w:rPr>
          <w:rFonts w:ascii="Helvetica" w:hAnsi="Helvetica"/>
          <w:lang w:val="en-AU"/>
        </w:rPr>
      </w:pPr>
    </w:p>
    <w:p w:rsidR="00155977" w:rsidRPr="003B5D9D" w:rsidRDefault="00155977" w:rsidP="00653346">
      <w:pPr>
        <w:spacing w:line="360" w:lineRule="auto"/>
        <w:ind w:left="284" w:hanging="284"/>
        <w:rPr>
          <w:rFonts w:ascii="Helvetica" w:hAnsi="Helvetica"/>
          <w:lang w:val="en-AU"/>
        </w:rPr>
      </w:pPr>
      <w:proofErr w:type="spellStart"/>
      <w:r w:rsidRPr="003B5D9D">
        <w:rPr>
          <w:rFonts w:ascii="Helvetica" w:hAnsi="Helvetica"/>
          <w:lang w:val="en-AU"/>
        </w:rPr>
        <w:t>Keleher</w:t>
      </w:r>
      <w:proofErr w:type="spellEnd"/>
      <w:r w:rsidRPr="003B5D9D">
        <w:rPr>
          <w:rFonts w:ascii="Helvetica" w:hAnsi="Helvetica"/>
          <w:lang w:val="en-AU"/>
        </w:rPr>
        <w:t xml:space="preserve">, H., &amp; </w:t>
      </w:r>
      <w:proofErr w:type="spellStart"/>
      <w:r w:rsidRPr="003B5D9D">
        <w:rPr>
          <w:rFonts w:ascii="Helvetica" w:hAnsi="Helvetica"/>
          <w:lang w:val="en-AU"/>
        </w:rPr>
        <w:t>Macdougall</w:t>
      </w:r>
      <w:proofErr w:type="spellEnd"/>
      <w:r w:rsidRPr="003B5D9D">
        <w:rPr>
          <w:rFonts w:ascii="Helvetica" w:hAnsi="Helvetica"/>
          <w:lang w:val="en-AU"/>
        </w:rPr>
        <w:t>, C. Understanding Health; A Determinants Approach (2</w:t>
      </w:r>
      <w:r w:rsidRPr="003B5D9D">
        <w:rPr>
          <w:rFonts w:ascii="Helvetica" w:hAnsi="Helvetica"/>
          <w:vertAlign w:val="superscript"/>
          <w:lang w:val="en-AU"/>
        </w:rPr>
        <w:t>nd</w:t>
      </w:r>
      <w:r w:rsidRPr="003B5D9D">
        <w:rPr>
          <w:rFonts w:ascii="Helvetica" w:hAnsi="Helvetica"/>
          <w:lang w:val="en-AU"/>
        </w:rPr>
        <w:t xml:space="preserve"> ed.) Oxford University Press (Australia and New Zealand)</w:t>
      </w:r>
    </w:p>
    <w:p w:rsidR="00776EF6" w:rsidRDefault="00776EF6" w:rsidP="00653346">
      <w:pPr>
        <w:spacing w:line="360" w:lineRule="auto"/>
        <w:rPr>
          <w:rFonts w:ascii="Helvetica" w:hAnsi="Helvetica" w:cs="Helvetica"/>
          <w:b/>
          <w:bCs/>
          <w:color w:val="000000"/>
        </w:rPr>
      </w:pPr>
    </w:p>
    <w:p w:rsidR="00776EF6" w:rsidRPr="00776EF6" w:rsidRDefault="00776EF6" w:rsidP="00653346">
      <w:pPr>
        <w:spacing w:line="360" w:lineRule="auto"/>
        <w:ind w:left="284" w:hanging="284"/>
        <w:rPr>
          <w:rFonts w:ascii="Helvetica" w:hAnsi="Helvetica" w:cs="Helvetica"/>
          <w:color w:val="1A1718"/>
          <w:szCs w:val="17"/>
        </w:rPr>
      </w:pPr>
      <w:r>
        <w:rPr>
          <w:rFonts w:ascii="Helvetica" w:hAnsi="Helvetica"/>
          <w:lang w:val="en-AU"/>
        </w:rPr>
        <w:t xml:space="preserve">Lynch, J.W, &amp; Kaplan, G. A., Socioeconomic factors In: </w:t>
      </w:r>
      <w:proofErr w:type="spellStart"/>
      <w:r>
        <w:rPr>
          <w:rFonts w:ascii="Helvetica" w:hAnsi="Helvetica"/>
          <w:lang w:val="en-AU"/>
        </w:rPr>
        <w:t>Berkman</w:t>
      </w:r>
      <w:proofErr w:type="spellEnd"/>
      <w:r>
        <w:rPr>
          <w:rFonts w:ascii="Helvetica" w:hAnsi="Helvetica"/>
          <w:lang w:val="en-AU"/>
        </w:rPr>
        <w:t xml:space="preserve"> LF and </w:t>
      </w:r>
      <w:proofErr w:type="spellStart"/>
      <w:r>
        <w:rPr>
          <w:rFonts w:ascii="Helvetica" w:hAnsi="Helvetica"/>
          <w:lang w:val="en-AU"/>
        </w:rPr>
        <w:t>Kawachi</w:t>
      </w:r>
      <w:proofErr w:type="spellEnd"/>
      <w:r>
        <w:rPr>
          <w:rFonts w:ascii="Helvetica" w:hAnsi="Helvetica"/>
          <w:lang w:val="en-AU"/>
        </w:rPr>
        <w:t xml:space="preserve"> (1</w:t>
      </w:r>
      <w:r w:rsidRPr="00776EF6">
        <w:rPr>
          <w:rFonts w:ascii="Helvetica" w:hAnsi="Helvetica"/>
          <w:vertAlign w:val="superscript"/>
          <w:lang w:val="en-AU"/>
        </w:rPr>
        <w:t>st</w:t>
      </w:r>
      <w:r>
        <w:rPr>
          <w:rFonts w:ascii="Helvetica" w:hAnsi="Helvetica"/>
          <w:lang w:val="en-AU"/>
        </w:rPr>
        <w:t xml:space="preserve"> ed.) Social Epidemiology, PP. 13-35. New York: Oxford University Press 2000.</w:t>
      </w:r>
    </w:p>
    <w:p w:rsidR="002D55F3" w:rsidRPr="003B5D9D" w:rsidRDefault="002D55F3" w:rsidP="00653346">
      <w:pPr>
        <w:spacing w:line="360" w:lineRule="auto"/>
        <w:rPr>
          <w:rFonts w:ascii="Helvetica" w:hAnsi="Helvetica" w:cs="Helvetica"/>
          <w:b/>
          <w:bCs/>
          <w:color w:val="000000"/>
        </w:rPr>
      </w:pPr>
    </w:p>
    <w:p w:rsidR="002D55F3" w:rsidRPr="003B5D9D" w:rsidRDefault="002D55F3" w:rsidP="00653346">
      <w:pPr>
        <w:spacing w:line="360" w:lineRule="auto"/>
        <w:ind w:left="284" w:hanging="284"/>
        <w:rPr>
          <w:rFonts w:ascii="Helvetica" w:hAnsi="Helvetica"/>
          <w:lang w:val="en-AU"/>
        </w:rPr>
      </w:pPr>
      <w:r w:rsidRPr="003B5D9D">
        <w:rPr>
          <w:rFonts w:ascii="Helvetica" w:hAnsi="Helvetica" w:cs="Helvetica"/>
          <w:color w:val="000000"/>
          <w:szCs w:val="22"/>
        </w:rPr>
        <w:t xml:space="preserve">Macintyre, S., &amp; Hunt, K. (1997) Socio-economic position, gender and health: how do they interact? </w:t>
      </w:r>
      <w:proofErr w:type="gramStart"/>
      <w:r w:rsidRPr="003B5D9D">
        <w:rPr>
          <w:rFonts w:ascii="Helvetica" w:hAnsi="Helvetica" w:cs="Helvetica"/>
          <w:color w:val="000000"/>
          <w:szCs w:val="22"/>
        </w:rPr>
        <w:t>Journal of Health Psychology.</w:t>
      </w:r>
      <w:proofErr w:type="gramEnd"/>
      <w:r w:rsidRPr="003B5D9D">
        <w:rPr>
          <w:rFonts w:ascii="Helvetica" w:hAnsi="Helvetica" w:cs="Helvetica"/>
          <w:color w:val="000000"/>
          <w:szCs w:val="22"/>
        </w:rPr>
        <w:t xml:space="preserve"> 2; 315 DOI</w:t>
      </w:r>
      <w:proofErr w:type="gramStart"/>
      <w:r w:rsidRPr="003B5D9D">
        <w:rPr>
          <w:rFonts w:ascii="Helvetica" w:hAnsi="Helvetica" w:cs="Helvetica"/>
          <w:color w:val="000000"/>
          <w:szCs w:val="22"/>
        </w:rPr>
        <w:t>:10.1177</w:t>
      </w:r>
      <w:proofErr w:type="gramEnd"/>
      <w:r w:rsidRPr="003B5D9D">
        <w:rPr>
          <w:rFonts w:ascii="Helvetica" w:hAnsi="Helvetica" w:cs="Helvetica"/>
          <w:color w:val="000000"/>
          <w:szCs w:val="22"/>
        </w:rPr>
        <w:t>/135910539700200304</w:t>
      </w:r>
    </w:p>
    <w:p w:rsidR="000826F4" w:rsidRPr="003B5D9D" w:rsidRDefault="000826F4" w:rsidP="00653346">
      <w:pPr>
        <w:spacing w:line="360" w:lineRule="auto"/>
        <w:rPr>
          <w:rFonts w:ascii="Helvetica" w:hAnsi="Helvetica" w:cs="Helvetica"/>
          <w:color w:val="000000"/>
          <w:szCs w:val="22"/>
        </w:rPr>
      </w:pPr>
    </w:p>
    <w:p w:rsidR="000826F4" w:rsidRPr="003B5D9D" w:rsidRDefault="000826F4" w:rsidP="00653346">
      <w:pPr>
        <w:spacing w:line="360" w:lineRule="auto"/>
        <w:ind w:left="284" w:hanging="284"/>
        <w:rPr>
          <w:rFonts w:ascii="Helvetica" w:hAnsi="Helvetica" w:cs="Helvetica"/>
          <w:color w:val="000000"/>
          <w:szCs w:val="22"/>
        </w:rPr>
      </w:pPr>
      <w:r w:rsidRPr="003B5D9D">
        <w:rPr>
          <w:rFonts w:ascii="Helvetica" w:hAnsi="Helvetica" w:cs="Helvetica"/>
          <w:color w:val="000000"/>
          <w:szCs w:val="22"/>
        </w:rPr>
        <w:t xml:space="preserve">Murray, G., &amp; Judd, F., &amp; Henry J., &amp; Fraser, C., &amp; </w:t>
      </w:r>
      <w:proofErr w:type="spellStart"/>
      <w:r w:rsidRPr="003B5D9D">
        <w:rPr>
          <w:rFonts w:ascii="Helvetica" w:hAnsi="Helvetica" w:cs="Helvetica"/>
          <w:color w:val="000000"/>
          <w:szCs w:val="22"/>
        </w:rPr>
        <w:t>Komiti</w:t>
      </w:r>
      <w:proofErr w:type="spellEnd"/>
      <w:r w:rsidRPr="003B5D9D">
        <w:rPr>
          <w:rFonts w:ascii="Helvetica" w:hAnsi="Helvetica" w:cs="Helvetica"/>
          <w:color w:val="000000"/>
          <w:szCs w:val="22"/>
        </w:rPr>
        <w:t xml:space="preserve">, A., &amp; </w:t>
      </w:r>
      <w:proofErr w:type="spellStart"/>
      <w:r w:rsidRPr="003B5D9D">
        <w:rPr>
          <w:rFonts w:ascii="Helvetica" w:hAnsi="Helvetica" w:cs="Helvetica"/>
          <w:color w:val="000000"/>
          <w:szCs w:val="22"/>
        </w:rPr>
        <w:t>Hodgins</w:t>
      </w:r>
      <w:proofErr w:type="spellEnd"/>
      <w:r w:rsidRPr="003B5D9D">
        <w:rPr>
          <w:rFonts w:ascii="Helvetica" w:hAnsi="Helvetica" w:cs="Helvetica"/>
          <w:color w:val="000000"/>
          <w:szCs w:val="22"/>
        </w:rPr>
        <w:t xml:space="preserve">, G., &amp; Pattison, P., &amp; Humphreys, J., &amp; Robins, G., (2004) </w:t>
      </w:r>
      <w:r w:rsidRPr="003B5D9D">
        <w:rPr>
          <w:rFonts w:ascii="Helvetica" w:hAnsi="Helvetica" w:cs="Helvetica"/>
          <w:bCs/>
          <w:color w:val="000000"/>
          <w:szCs w:val="19"/>
        </w:rPr>
        <w:t>38:629-634</w:t>
      </w:r>
      <w:r w:rsidRPr="003B5D9D">
        <w:rPr>
          <w:rFonts w:ascii="Helvetica" w:hAnsi="Helvetica" w:cs="Helvetica"/>
          <w:color w:val="000000"/>
          <w:szCs w:val="22"/>
        </w:rPr>
        <w:t xml:space="preserve"> </w:t>
      </w:r>
      <w:proofErr w:type="spellStart"/>
      <w:r w:rsidRPr="003B5D9D">
        <w:rPr>
          <w:rFonts w:ascii="Helvetica" w:hAnsi="Helvetica" w:cs="Helvetica"/>
          <w:color w:val="000000"/>
          <w:szCs w:val="22"/>
        </w:rPr>
        <w:t>Rurality</w:t>
      </w:r>
      <w:proofErr w:type="spellEnd"/>
      <w:r w:rsidRPr="003B5D9D">
        <w:rPr>
          <w:rFonts w:ascii="Helvetica" w:hAnsi="Helvetica" w:cs="Helvetica"/>
          <w:color w:val="000000"/>
          <w:szCs w:val="22"/>
        </w:rPr>
        <w:t xml:space="preserve"> and mental health: the role of accessibility. The Australian and New Zealand Journal of Psychiatry.</w:t>
      </w:r>
    </w:p>
    <w:p w:rsidR="00CD2A50" w:rsidRPr="003B5D9D" w:rsidRDefault="00CD2A50" w:rsidP="00653346">
      <w:pPr>
        <w:spacing w:line="360" w:lineRule="auto"/>
        <w:rPr>
          <w:rFonts w:ascii="Helvetica" w:hAnsi="Helvetica"/>
          <w:lang w:val="en-AU"/>
        </w:rPr>
      </w:pPr>
      <w:r w:rsidRPr="003B5D9D">
        <w:rPr>
          <w:rFonts w:ascii="Helvetica" w:hAnsi="Helvetica" w:cs="Helvetica"/>
          <w:color w:val="000000"/>
          <w:szCs w:val="22"/>
        </w:rPr>
        <w:br/>
      </w:r>
      <w:proofErr w:type="spellStart"/>
      <w:r w:rsidRPr="003B5D9D">
        <w:rPr>
          <w:rFonts w:ascii="Helvetica" w:hAnsi="Helvetica" w:cs="Helvetica"/>
          <w:color w:val="000000"/>
          <w:szCs w:val="22"/>
        </w:rPr>
        <w:t>Congdon</w:t>
      </w:r>
      <w:proofErr w:type="spellEnd"/>
      <w:r w:rsidRPr="003B5D9D">
        <w:rPr>
          <w:rFonts w:ascii="Helvetica" w:hAnsi="Helvetica" w:cs="Helvetica"/>
          <w:color w:val="000000"/>
          <w:szCs w:val="22"/>
        </w:rPr>
        <w:t>, P.   (1995) Socio-Economic Structure and Health in London. Urban Studies. 32; 523 DOI:  10.1080/00420989550012951</w:t>
      </w:r>
    </w:p>
    <w:p w:rsidR="00E9405C" w:rsidRPr="003B5D9D" w:rsidRDefault="00E9405C" w:rsidP="00653346">
      <w:pPr>
        <w:spacing w:line="360" w:lineRule="auto"/>
        <w:rPr>
          <w:rFonts w:ascii="Helvetica" w:hAnsi="Helvetica"/>
          <w:lang w:val="en-AU"/>
        </w:rPr>
      </w:pPr>
    </w:p>
    <w:p w:rsidR="00A24177" w:rsidRPr="003B5D9D" w:rsidRDefault="00E9405C" w:rsidP="00653346">
      <w:pPr>
        <w:spacing w:line="360" w:lineRule="auto"/>
        <w:ind w:left="284" w:hanging="284"/>
        <w:rPr>
          <w:rFonts w:ascii="Helvetica" w:hAnsi="Helvetica"/>
          <w:lang w:val="en-AU"/>
        </w:rPr>
      </w:pPr>
      <w:proofErr w:type="spellStart"/>
      <w:r w:rsidRPr="003B5D9D">
        <w:rPr>
          <w:rFonts w:ascii="Helvetica" w:hAnsi="Helvetica"/>
          <w:lang w:val="en-AU"/>
        </w:rPr>
        <w:t>Regidor</w:t>
      </w:r>
      <w:proofErr w:type="spellEnd"/>
      <w:r w:rsidRPr="003B5D9D">
        <w:rPr>
          <w:rFonts w:ascii="Helvetica" w:hAnsi="Helvetica"/>
          <w:lang w:val="en-AU"/>
        </w:rPr>
        <w:t xml:space="preserve">, E., </w:t>
      </w:r>
      <w:proofErr w:type="spellStart"/>
      <w:r w:rsidRPr="003B5D9D">
        <w:rPr>
          <w:rFonts w:ascii="Helvetica" w:hAnsi="Helvetica"/>
          <w:lang w:val="en-AU"/>
        </w:rPr>
        <w:t>Pascual</w:t>
      </w:r>
      <w:proofErr w:type="spellEnd"/>
      <w:r w:rsidRPr="003B5D9D">
        <w:rPr>
          <w:rFonts w:ascii="Helvetica" w:hAnsi="Helvetica"/>
          <w:lang w:val="en-AU"/>
        </w:rPr>
        <w:t xml:space="preserve">, C., de la </w:t>
      </w:r>
      <w:proofErr w:type="spellStart"/>
      <w:r w:rsidRPr="003B5D9D">
        <w:rPr>
          <w:rFonts w:ascii="Helvetica" w:hAnsi="Helvetica"/>
          <w:lang w:val="en-AU"/>
        </w:rPr>
        <w:t>Feunte</w:t>
      </w:r>
      <w:proofErr w:type="spellEnd"/>
      <w:r w:rsidRPr="003B5D9D">
        <w:rPr>
          <w:rFonts w:ascii="Helvetica" w:hAnsi="Helvetica"/>
          <w:lang w:val="en-AU"/>
        </w:rPr>
        <w:t>, L., Santos, J. M.</w:t>
      </w:r>
      <w:proofErr w:type="gramStart"/>
      <w:r w:rsidRPr="003B5D9D">
        <w:rPr>
          <w:rFonts w:ascii="Helvetica" w:hAnsi="Helvetica"/>
          <w:lang w:val="en-AU"/>
        </w:rPr>
        <w:t xml:space="preserve">,  </w:t>
      </w:r>
      <w:proofErr w:type="spellStart"/>
      <w:r w:rsidRPr="003B5D9D">
        <w:rPr>
          <w:rFonts w:ascii="Helvetica" w:hAnsi="Helvetica"/>
          <w:lang w:val="en-AU"/>
        </w:rPr>
        <w:t>Astasio</w:t>
      </w:r>
      <w:proofErr w:type="spellEnd"/>
      <w:proofErr w:type="gramEnd"/>
      <w:r w:rsidRPr="003B5D9D">
        <w:rPr>
          <w:rFonts w:ascii="Helvetica" w:hAnsi="Helvetica"/>
          <w:lang w:val="en-AU"/>
        </w:rPr>
        <w:t xml:space="preserve">, P., Ortega, P. (2010) Socio-Economic position, family demands and reported health in working men and women. </w:t>
      </w:r>
      <w:proofErr w:type="gramStart"/>
      <w:r w:rsidRPr="003B5D9D">
        <w:rPr>
          <w:rFonts w:ascii="Helvetica" w:hAnsi="Helvetica"/>
          <w:lang w:val="en-AU"/>
        </w:rPr>
        <w:t>Oxford University Press.</w:t>
      </w:r>
      <w:proofErr w:type="gramEnd"/>
    </w:p>
    <w:p w:rsidR="00211B85" w:rsidRPr="003B5D9D" w:rsidRDefault="00211B85" w:rsidP="00653346">
      <w:pPr>
        <w:spacing w:line="360" w:lineRule="auto"/>
        <w:rPr>
          <w:rFonts w:ascii="Helvetica" w:hAnsi="Helvetica"/>
          <w:lang w:val="en-AU"/>
        </w:rPr>
      </w:pPr>
    </w:p>
    <w:p w:rsidR="00211B85" w:rsidRPr="003B5D9D" w:rsidRDefault="00211B85" w:rsidP="00653346">
      <w:pPr>
        <w:spacing w:line="360" w:lineRule="auto"/>
        <w:ind w:left="284" w:hanging="284"/>
        <w:rPr>
          <w:rFonts w:ascii="Helvetica" w:hAnsi="Helvetica" w:cs="Helvetica"/>
          <w:color w:val="000000"/>
          <w:szCs w:val="22"/>
        </w:rPr>
      </w:pPr>
      <w:proofErr w:type="spellStart"/>
      <w:r w:rsidRPr="003B5D9D">
        <w:rPr>
          <w:rFonts w:ascii="Helvetica" w:hAnsi="Helvetica" w:cs="Helvetica"/>
          <w:color w:val="000000"/>
          <w:szCs w:val="22"/>
        </w:rPr>
        <w:t>Sinha</w:t>
      </w:r>
      <w:proofErr w:type="spellEnd"/>
      <w:r w:rsidRPr="003B5D9D">
        <w:rPr>
          <w:rFonts w:ascii="Helvetica" w:hAnsi="Helvetica" w:cs="Helvetica"/>
          <w:color w:val="000000"/>
          <w:szCs w:val="22"/>
        </w:rPr>
        <w:t xml:space="preserve">, S., &amp; Lipton, M., &amp; </w:t>
      </w:r>
      <w:proofErr w:type="spellStart"/>
      <w:r w:rsidRPr="003B5D9D">
        <w:rPr>
          <w:rFonts w:ascii="Helvetica" w:hAnsi="Helvetica" w:cs="Helvetica"/>
          <w:color w:val="000000"/>
          <w:szCs w:val="22"/>
        </w:rPr>
        <w:t>Yaqub</w:t>
      </w:r>
      <w:proofErr w:type="spellEnd"/>
      <w:r w:rsidRPr="003B5D9D">
        <w:rPr>
          <w:rFonts w:ascii="Helvetica" w:hAnsi="Helvetica" w:cs="Helvetica"/>
          <w:color w:val="000000"/>
          <w:szCs w:val="22"/>
        </w:rPr>
        <w:t xml:space="preserve">, S., (2003) Poverty and “Damaging </w:t>
      </w:r>
      <w:proofErr w:type="spellStart"/>
      <w:r w:rsidRPr="003B5D9D">
        <w:rPr>
          <w:rFonts w:ascii="Helvetica" w:hAnsi="Helvetica" w:cs="Helvetica"/>
          <w:color w:val="000000"/>
          <w:szCs w:val="22"/>
        </w:rPr>
        <w:t>Fluctutations</w:t>
      </w:r>
      <w:proofErr w:type="spellEnd"/>
      <w:r w:rsidRPr="003B5D9D">
        <w:rPr>
          <w:rFonts w:ascii="Helvetica" w:hAnsi="Helvetica" w:cs="Helvetica"/>
          <w:color w:val="000000"/>
          <w:szCs w:val="22"/>
        </w:rPr>
        <w:t xml:space="preserve">”: How do they </w:t>
      </w:r>
      <w:proofErr w:type="gramStart"/>
      <w:r w:rsidRPr="003B5D9D">
        <w:rPr>
          <w:rFonts w:ascii="Helvetica" w:hAnsi="Helvetica" w:cs="Helvetica"/>
          <w:color w:val="000000"/>
          <w:szCs w:val="22"/>
        </w:rPr>
        <w:t>Relate</w:t>
      </w:r>
      <w:proofErr w:type="gramEnd"/>
      <w:r w:rsidRPr="003B5D9D">
        <w:rPr>
          <w:rFonts w:ascii="Helvetica" w:hAnsi="Helvetica" w:cs="Helvetica"/>
          <w:color w:val="000000"/>
          <w:szCs w:val="22"/>
        </w:rPr>
        <w:t xml:space="preserve">? </w:t>
      </w:r>
      <w:proofErr w:type="gramStart"/>
      <w:r w:rsidRPr="003B5D9D">
        <w:rPr>
          <w:rFonts w:ascii="Helvetica" w:hAnsi="Helvetica" w:cs="Helvetica"/>
          <w:color w:val="000000"/>
          <w:szCs w:val="22"/>
        </w:rPr>
        <w:t>Journal of Asian and African Studies.</w:t>
      </w:r>
      <w:proofErr w:type="gramEnd"/>
      <w:r w:rsidRPr="003B5D9D">
        <w:rPr>
          <w:rFonts w:ascii="Helvetica" w:hAnsi="Helvetica" w:cs="Helvetica"/>
          <w:color w:val="000000"/>
          <w:szCs w:val="22"/>
        </w:rPr>
        <w:t xml:space="preserve"> 37; 186 DOI: 10.1177/002190960203700209 </w:t>
      </w:r>
    </w:p>
    <w:p w:rsidR="00155977" w:rsidRPr="003B5D9D" w:rsidRDefault="00155977" w:rsidP="00653346">
      <w:pPr>
        <w:spacing w:line="360" w:lineRule="auto"/>
        <w:rPr>
          <w:rFonts w:ascii="Helvetica" w:hAnsi="Helvetica"/>
          <w:lang w:val="en-AU"/>
        </w:rPr>
      </w:pPr>
    </w:p>
    <w:p w:rsidR="00A902D4" w:rsidRPr="003B5D9D" w:rsidRDefault="00155977" w:rsidP="00653346">
      <w:pPr>
        <w:spacing w:line="360" w:lineRule="auto"/>
        <w:ind w:left="284" w:hanging="284"/>
        <w:rPr>
          <w:rFonts w:ascii="Helvetica" w:hAnsi="Helvetica"/>
          <w:lang w:val="en-AU"/>
        </w:rPr>
      </w:pPr>
      <w:r w:rsidRPr="003B5D9D">
        <w:rPr>
          <w:rFonts w:ascii="Helvetica" w:hAnsi="Helvetica"/>
          <w:lang w:val="en-AU"/>
        </w:rPr>
        <w:t xml:space="preserve">The Determinants of Health (2010) </w:t>
      </w:r>
      <w:hyperlink r:id="rId4" w:history="1">
        <w:r w:rsidRPr="003B5D9D">
          <w:rPr>
            <w:rStyle w:val="Hyperlink"/>
            <w:rFonts w:ascii="Helvetica" w:hAnsi="Helvetica"/>
            <w:lang w:val="en-AU"/>
          </w:rPr>
          <w:t>http://www.health.vic.gov.au/healthpromotion/what_is/determinants.htm</w:t>
        </w:r>
      </w:hyperlink>
      <w:r w:rsidRPr="003B5D9D">
        <w:rPr>
          <w:rFonts w:ascii="Helvetica" w:hAnsi="Helvetica"/>
          <w:lang w:val="en-AU"/>
        </w:rPr>
        <w:t xml:space="preserve"> </w:t>
      </w:r>
      <w:r w:rsidR="00A902D4" w:rsidRPr="003B5D9D">
        <w:rPr>
          <w:rFonts w:ascii="Helvetica" w:hAnsi="Helvetica"/>
          <w:lang w:val="en-AU"/>
        </w:rPr>
        <w:t xml:space="preserve">Retrieved 20 </w:t>
      </w:r>
      <w:r w:rsidRPr="003B5D9D">
        <w:rPr>
          <w:rFonts w:ascii="Helvetica" w:hAnsi="Helvetica"/>
          <w:lang w:val="en-AU"/>
        </w:rPr>
        <w:t>April</w:t>
      </w:r>
      <w:r w:rsidR="00A902D4" w:rsidRPr="003B5D9D">
        <w:rPr>
          <w:rFonts w:ascii="Helvetica" w:hAnsi="Helvetica"/>
          <w:lang w:val="en-AU"/>
        </w:rPr>
        <w:t xml:space="preserve"> 2010</w:t>
      </w:r>
    </w:p>
    <w:p w:rsidR="00155977" w:rsidRPr="003B5D9D" w:rsidRDefault="00155977" w:rsidP="00653346">
      <w:pPr>
        <w:spacing w:line="360" w:lineRule="auto"/>
        <w:rPr>
          <w:rFonts w:ascii="Helvetica" w:hAnsi="Helvetica"/>
          <w:lang w:val="en-AU"/>
        </w:rPr>
      </w:pPr>
    </w:p>
    <w:p w:rsidR="00A902D4" w:rsidRPr="003B5D9D" w:rsidRDefault="00DD57C6" w:rsidP="00653346">
      <w:pPr>
        <w:spacing w:line="360" w:lineRule="auto"/>
        <w:rPr>
          <w:rFonts w:ascii="Helvetica" w:hAnsi="Helvetica"/>
          <w:lang w:val="en-AU"/>
        </w:rPr>
      </w:pPr>
      <w:r w:rsidRPr="003B5D9D">
        <w:rPr>
          <w:rFonts w:ascii="Helvetica" w:hAnsi="Helvetica"/>
          <w:lang w:val="en-AU"/>
        </w:rPr>
        <w:t>The F</w:t>
      </w:r>
      <w:r w:rsidR="00155977" w:rsidRPr="003B5D9D">
        <w:rPr>
          <w:rFonts w:ascii="Helvetica" w:hAnsi="Helvetica"/>
          <w:lang w:val="en-AU"/>
        </w:rPr>
        <w:t>actors affecting health and wellbeing (2008)</w:t>
      </w:r>
    </w:p>
    <w:p w:rsidR="00155977" w:rsidRPr="003B5D9D" w:rsidRDefault="00E61013" w:rsidP="00653346">
      <w:pPr>
        <w:spacing w:line="360" w:lineRule="auto"/>
        <w:ind w:left="284"/>
        <w:rPr>
          <w:rFonts w:ascii="Helvetica" w:hAnsi="Helvetica"/>
          <w:lang w:val="en-AU"/>
        </w:rPr>
      </w:pPr>
      <w:hyperlink r:id="rId5" w:history="1">
        <w:r w:rsidR="00A902D4" w:rsidRPr="003B5D9D">
          <w:rPr>
            <w:rStyle w:val="Hyperlink"/>
            <w:rFonts w:ascii="Helvetica" w:hAnsi="Helvetica"/>
            <w:lang w:val="en-AU"/>
          </w:rPr>
          <w:t>http://ajph.aphapublications.org/cgi/content/full/93.91446</w:t>
        </w:r>
      </w:hyperlink>
    </w:p>
    <w:p w:rsidR="00A902D4" w:rsidRPr="003B5D9D" w:rsidRDefault="00155977" w:rsidP="00653346">
      <w:pPr>
        <w:spacing w:line="360" w:lineRule="auto"/>
        <w:ind w:left="284"/>
        <w:rPr>
          <w:rFonts w:ascii="Helvetica" w:hAnsi="Helvetica"/>
          <w:lang w:val="en-AU"/>
        </w:rPr>
      </w:pPr>
      <w:r w:rsidRPr="003B5D9D">
        <w:rPr>
          <w:rFonts w:ascii="Helvetica" w:hAnsi="Helvetica"/>
          <w:lang w:val="en-AU"/>
        </w:rPr>
        <w:t xml:space="preserve">Retrieved 20 April 2010 </w:t>
      </w:r>
    </w:p>
    <w:p w:rsidR="00555E4F" w:rsidRPr="003B5D9D" w:rsidRDefault="00555E4F" w:rsidP="00653346">
      <w:pPr>
        <w:spacing w:line="360" w:lineRule="auto"/>
        <w:ind w:left="284" w:hanging="284"/>
        <w:rPr>
          <w:rFonts w:ascii="Helvetica" w:hAnsi="Helvetica"/>
          <w:lang w:val="en-AU"/>
        </w:rPr>
      </w:pPr>
    </w:p>
    <w:sectPr w:rsidR="00555E4F" w:rsidRPr="003B5D9D" w:rsidSect="00555E4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55E4F"/>
    <w:rsid w:val="00031239"/>
    <w:rsid w:val="000634EC"/>
    <w:rsid w:val="000826F4"/>
    <w:rsid w:val="000D65B4"/>
    <w:rsid w:val="000F632B"/>
    <w:rsid w:val="001163C8"/>
    <w:rsid w:val="00155977"/>
    <w:rsid w:val="001A1721"/>
    <w:rsid w:val="00211B85"/>
    <w:rsid w:val="002A6132"/>
    <w:rsid w:val="002D55F3"/>
    <w:rsid w:val="003869CB"/>
    <w:rsid w:val="003B5D9D"/>
    <w:rsid w:val="0041063D"/>
    <w:rsid w:val="004A2BF3"/>
    <w:rsid w:val="004B6F14"/>
    <w:rsid w:val="004E7678"/>
    <w:rsid w:val="0054158B"/>
    <w:rsid w:val="00555E4F"/>
    <w:rsid w:val="00566FB8"/>
    <w:rsid w:val="005D23D4"/>
    <w:rsid w:val="0060311F"/>
    <w:rsid w:val="00653346"/>
    <w:rsid w:val="006D0118"/>
    <w:rsid w:val="00776EF6"/>
    <w:rsid w:val="00A24177"/>
    <w:rsid w:val="00A72A39"/>
    <w:rsid w:val="00A902D4"/>
    <w:rsid w:val="00A95C33"/>
    <w:rsid w:val="00A96344"/>
    <w:rsid w:val="00B419C9"/>
    <w:rsid w:val="00B446D7"/>
    <w:rsid w:val="00BF31AC"/>
    <w:rsid w:val="00C91A86"/>
    <w:rsid w:val="00CA001E"/>
    <w:rsid w:val="00CB4A75"/>
    <w:rsid w:val="00CD2A50"/>
    <w:rsid w:val="00CD58D9"/>
    <w:rsid w:val="00CE4498"/>
    <w:rsid w:val="00DC646F"/>
    <w:rsid w:val="00DD57C6"/>
    <w:rsid w:val="00E61013"/>
    <w:rsid w:val="00E9405C"/>
    <w:rsid w:val="00FC511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902D4"/>
    <w:rPr>
      <w:color w:val="0000FF" w:themeColor="hyperlink"/>
      <w:u w:val="single"/>
    </w:rPr>
  </w:style>
  <w:style w:type="character" w:styleId="FollowedHyperlink">
    <w:name w:val="FollowedHyperlink"/>
    <w:basedOn w:val="DefaultParagraphFont"/>
    <w:uiPriority w:val="99"/>
    <w:semiHidden/>
    <w:unhideWhenUsed/>
    <w:rsid w:val="00A902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ealth.vic.gov.au/healthpromotion/what_is/determinants.htm" TargetMode="External"/><Relationship Id="rId5" Type="http://schemas.openxmlformats.org/officeDocument/2006/relationships/hyperlink" Target="http://ajph.aphapublications.org/cgi/content/full/93.9144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5</Pages>
  <Words>1061</Words>
  <Characters>6051</Characters>
  <Application>Microsoft Macintosh Word</Application>
  <DocSecurity>0</DocSecurity>
  <Lines>50</Lines>
  <Paragraphs>12</Paragraphs>
  <ScaleCrop>false</ScaleCrop>
  <Company>University of Ballarat</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Dylan Collis</cp:lastModifiedBy>
  <cp:revision>17</cp:revision>
  <dcterms:created xsi:type="dcterms:W3CDTF">2010-04-25T03:39:00Z</dcterms:created>
  <dcterms:modified xsi:type="dcterms:W3CDTF">2010-04-27T04:31:00Z</dcterms:modified>
</cp:coreProperties>
</file>